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charts/chart4.xml" ContentType="application/vnd.openxmlformats-officedocument.drawingml.chart+xml"/>
  <Override PartName="/word/theme/themeOverride4.xml" ContentType="application/vnd.openxmlformats-officedocument.themeOverride+xml"/>
  <Override PartName="/word/charts/chart5.xml" ContentType="application/vnd.openxmlformats-officedocument.drawingml.chart+xml"/>
  <Override PartName="/word/theme/themeOverride5.xml" ContentType="application/vnd.openxmlformats-officedocument.themeOverrid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EBFB971" w14:textId="77777777" w:rsidR="003671B8" w:rsidRDefault="00494DF3" w:rsidP="003442C0">
      <w:pPr>
        <w:tabs>
          <w:tab w:val="left" w:pos="6237"/>
        </w:tabs>
        <w:rPr>
          <w:sz w:val="4"/>
          <w:szCs w:val="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008CF0" wp14:editId="0A2BAA1C">
                <wp:simplePos x="0" y="0"/>
                <wp:positionH relativeFrom="column">
                  <wp:posOffset>-79513</wp:posOffset>
                </wp:positionH>
                <wp:positionV relativeFrom="paragraph">
                  <wp:posOffset>2319</wp:posOffset>
                </wp:positionV>
                <wp:extent cx="6333490" cy="523875"/>
                <wp:effectExtent l="0" t="0" r="10160" b="28575"/>
                <wp:wrapNone/>
                <wp:docPr id="8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3490" cy="523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992E8" w14:textId="77777777" w:rsidR="0003639B" w:rsidRPr="00262D3A" w:rsidRDefault="0003639B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262D3A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Indice Harmonisé des Prix à la Consommation</w:t>
                            </w:r>
                          </w:p>
                          <w:p w14:paraId="6BD5A319" w14:textId="514832B7" w:rsidR="0003639B" w:rsidRDefault="0003639B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Bulletin mensuel : décembre 2022</w:t>
                            </w:r>
                          </w:p>
                          <w:p w14:paraId="7DDEE798" w14:textId="77777777" w:rsidR="0003639B" w:rsidRDefault="0003639B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B67B99D" w14:textId="77777777" w:rsidR="0003639B" w:rsidRDefault="0003639B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05489E92" w14:textId="77777777" w:rsidR="0003639B" w:rsidRDefault="0003639B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DF7F51F" w14:textId="77777777" w:rsidR="0003639B" w:rsidRPr="00262D3A" w:rsidRDefault="0003639B" w:rsidP="00494DF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22008CF0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-6.25pt;margin-top:.2pt;width:498.7pt;height:4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">
                <v:textbox>
                  <w:txbxContent>
                    <w:p w14:paraId="4F8992E8" w14:textId="77777777" w:rsidR="0003639B" w:rsidRPr="00262D3A" w:rsidRDefault="0003639B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262D3A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Indice Harmonisé des Prix à la Consommation</w:t>
                      </w:r>
                    </w:p>
                    <w:p w14:paraId="6BD5A319" w14:textId="514832B7" w:rsidR="0003639B" w:rsidRDefault="0003639B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Bulletin mensuel : décembre 2022</w:t>
                      </w:r>
                    </w:p>
                    <w:p w14:paraId="7DDEE798" w14:textId="77777777" w:rsidR="0003639B" w:rsidRDefault="0003639B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6B67B99D" w14:textId="77777777" w:rsidR="0003639B" w:rsidRDefault="0003639B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05489E92" w14:textId="77777777" w:rsidR="0003639B" w:rsidRDefault="0003639B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  <w:p w14:paraId="4DF7F51F" w14:textId="77777777" w:rsidR="0003639B" w:rsidRPr="00262D3A" w:rsidRDefault="0003639B" w:rsidP="00494DF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C70350">
        <w:t xml:space="preserve">    </w:t>
      </w:r>
    </w:p>
    <w:p w14:paraId="0C3A016A" w14:textId="77777777" w:rsidR="00F30DB9" w:rsidRDefault="00F30DB9" w:rsidP="003671B8">
      <w:pPr>
        <w:rPr>
          <w:sz w:val="4"/>
          <w:szCs w:val="4"/>
        </w:rPr>
      </w:pPr>
    </w:p>
    <w:p w14:paraId="2854FF6C" w14:textId="77777777" w:rsidR="00494DF3" w:rsidRDefault="00494DF3" w:rsidP="003671B8">
      <w:pPr>
        <w:rPr>
          <w:sz w:val="4"/>
          <w:szCs w:val="4"/>
        </w:rPr>
      </w:pPr>
    </w:p>
    <w:p w14:paraId="5FD7A9C0" w14:textId="77777777" w:rsidR="00494DF3" w:rsidRDefault="00494DF3" w:rsidP="003671B8">
      <w:pPr>
        <w:rPr>
          <w:sz w:val="4"/>
          <w:szCs w:val="4"/>
        </w:rPr>
      </w:pPr>
    </w:p>
    <w:p w14:paraId="6F980A95" w14:textId="77777777" w:rsidR="00494DF3" w:rsidRDefault="00494DF3" w:rsidP="003671B8">
      <w:pPr>
        <w:rPr>
          <w:sz w:val="4"/>
          <w:szCs w:val="4"/>
        </w:rPr>
      </w:pPr>
    </w:p>
    <w:p w14:paraId="36DADC2F" w14:textId="77777777" w:rsidR="00494DF3" w:rsidRDefault="00494DF3" w:rsidP="003671B8">
      <w:pPr>
        <w:rPr>
          <w:sz w:val="4"/>
          <w:szCs w:val="4"/>
        </w:rPr>
      </w:pPr>
    </w:p>
    <w:p w14:paraId="053DB9D7" w14:textId="77777777" w:rsidR="00494DF3" w:rsidRDefault="00494DF3" w:rsidP="003671B8">
      <w:pPr>
        <w:rPr>
          <w:sz w:val="4"/>
          <w:szCs w:val="4"/>
        </w:rPr>
      </w:pPr>
    </w:p>
    <w:p w14:paraId="2C0F1A83" w14:textId="77777777" w:rsidR="00494DF3" w:rsidRDefault="00494DF3" w:rsidP="003671B8">
      <w:pPr>
        <w:rPr>
          <w:sz w:val="4"/>
          <w:szCs w:val="4"/>
        </w:rPr>
      </w:pPr>
    </w:p>
    <w:p w14:paraId="5A78F046" w14:textId="77777777" w:rsidR="00494DF3" w:rsidRDefault="00494DF3" w:rsidP="003671B8">
      <w:pPr>
        <w:rPr>
          <w:sz w:val="4"/>
          <w:szCs w:val="4"/>
        </w:rPr>
      </w:pPr>
    </w:p>
    <w:p w14:paraId="6CA6A1B7" w14:textId="77777777" w:rsidR="00494DF3" w:rsidRDefault="00494DF3" w:rsidP="003671B8">
      <w:pPr>
        <w:rPr>
          <w:sz w:val="4"/>
          <w:szCs w:val="4"/>
        </w:rPr>
      </w:pPr>
    </w:p>
    <w:p w14:paraId="4F96E616" w14:textId="77777777" w:rsidR="00494DF3" w:rsidRDefault="00494DF3" w:rsidP="003671B8">
      <w:pPr>
        <w:rPr>
          <w:sz w:val="4"/>
          <w:szCs w:val="4"/>
        </w:rPr>
      </w:pPr>
    </w:p>
    <w:p w14:paraId="6B05B687" w14:textId="77777777" w:rsidR="00494DF3" w:rsidRDefault="00494DF3" w:rsidP="003671B8">
      <w:pPr>
        <w:rPr>
          <w:sz w:val="4"/>
          <w:szCs w:val="4"/>
        </w:rPr>
      </w:pPr>
    </w:p>
    <w:p w14:paraId="55383F65" w14:textId="77777777" w:rsidR="00494DF3" w:rsidRDefault="00494DF3" w:rsidP="003671B8">
      <w:pPr>
        <w:rPr>
          <w:sz w:val="4"/>
          <w:szCs w:val="4"/>
        </w:rPr>
      </w:pPr>
    </w:p>
    <w:p w14:paraId="69E4E453" w14:textId="77777777" w:rsidR="00494DF3" w:rsidRDefault="00494DF3" w:rsidP="003671B8">
      <w:pPr>
        <w:rPr>
          <w:sz w:val="4"/>
          <w:szCs w:val="4"/>
        </w:rPr>
      </w:pPr>
    </w:p>
    <w:p w14:paraId="0D182DCE" w14:textId="77777777" w:rsidR="00F30DB9" w:rsidRDefault="00F30DB9" w:rsidP="003671B8">
      <w:pPr>
        <w:rPr>
          <w:sz w:val="4"/>
          <w:szCs w:val="4"/>
        </w:rPr>
      </w:pPr>
    </w:p>
    <w:p w14:paraId="73A1EFA8" w14:textId="77777777" w:rsidR="00494DF3" w:rsidRDefault="00494DF3" w:rsidP="003671B8">
      <w:pPr>
        <w:rPr>
          <w:sz w:val="4"/>
          <w:szCs w:val="4"/>
        </w:rPr>
      </w:pPr>
    </w:p>
    <w:p w14:paraId="2673E63C" w14:textId="77777777" w:rsidR="00494DF3" w:rsidRPr="00B62E70" w:rsidRDefault="00494DF3" w:rsidP="003671B8">
      <w:pPr>
        <w:rPr>
          <w:sz w:val="4"/>
          <w:szCs w:val="4"/>
        </w:rPr>
      </w:pPr>
    </w:p>
    <w:p w14:paraId="47545C58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center"/>
        <w:outlineLvl w:val="0"/>
        <w:rPr>
          <w:rFonts w:ascii="Times New Roman" w:hAnsi="Times New Roman" w:cs="Times New Roman"/>
          <w:b/>
          <w:bCs/>
          <w:sz w:val="19"/>
          <w:szCs w:val="19"/>
        </w:rPr>
      </w:pPr>
      <w:r w:rsidRPr="00262D3A">
        <w:rPr>
          <w:rFonts w:ascii="Times New Roman" w:hAnsi="Times New Roman" w:cs="Times New Roman"/>
          <w:b/>
          <w:bCs/>
          <w:sz w:val="19"/>
          <w:szCs w:val="19"/>
        </w:rPr>
        <w:t>AVERTISSEMENT</w:t>
      </w:r>
    </w:p>
    <w:p w14:paraId="0A677FED" w14:textId="506A6EEB" w:rsidR="003671B8" w:rsidRPr="00262D3A" w:rsidRDefault="00C44A29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>
        <w:rPr>
          <w:rFonts w:ascii="Times New Roman" w:hAnsi="Times New Roman" w:cs="Times New Roman"/>
          <w:sz w:val="19"/>
          <w:szCs w:val="19"/>
        </w:rPr>
        <w:t>L’IN</w:t>
      </w:r>
      <w:r w:rsidR="00BC270D">
        <w:rPr>
          <w:rFonts w:ascii="Times New Roman" w:hAnsi="Times New Roman" w:cs="Times New Roman"/>
          <w:sz w:val="19"/>
          <w:szCs w:val="19"/>
        </w:rPr>
        <w:t>S</w:t>
      </w:r>
      <w:r>
        <w:rPr>
          <w:rFonts w:ascii="Times New Roman" w:hAnsi="Times New Roman" w:cs="Times New Roman"/>
          <w:sz w:val="19"/>
          <w:szCs w:val="19"/>
        </w:rPr>
        <w:t>ta</w:t>
      </w:r>
      <w:r w:rsidR="00435E0B">
        <w:rPr>
          <w:rFonts w:ascii="Times New Roman" w:hAnsi="Times New Roman" w:cs="Times New Roman"/>
          <w:sz w:val="19"/>
          <w:szCs w:val="19"/>
        </w:rPr>
        <w:t>D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</w:t>
      </w:r>
      <w:r w:rsidR="006F28B6">
        <w:rPr>
          <w:rFonts w:ascii="Times New Roman" w:hAnsi="Times New Roman" w:cs="Times New Roman"/>
          <w:sz w:val="19"/>
          <w:szCs w:val="19"/>
        </w:rPr>
        <w:t>met</w:t>
      </w:r>
      <w:r w:rsidR="003671B8" w:rsidRPr="00262D3A">
        <w:rPr>
          <w:rFonts w:ascii="Times New Roman" w:hAnsi="Times New Roman" w:cs="Times New Roman"/>
          <w:sz w:val="19"/>
          <w:szCs w:val="19"/>
        </w:rPr>
        <w:t xml:space="preserve"> à la disposition des utilisateurs l’Indice Harmonisé des Prix à la Consommation (IHPC). Cet indice base 100, année 2014, mesure l’évolution des prix à la consommation au niveau national.</w:t>
      </w:r>
      <w:r w:rsidR="00CC216E">
        <w:rPr>
          <w:rFonts w:ascii="Times New Roman" w:hAnsi="Times New Roman" w:cs="Times New Roman"/>
          <w:sz w:val="19"/>
          <w:szCs w:val="19"/>
        </w:rPr>
        <w:t xml:space="preserve"> Les indices sont de type </w:t>
      </w:r>
      <w:proofErr w:type="spellStart"/>
      <w:r w:rsidR="00CC216E">
        <w:rPr>
          <w:rFonts w:ascii="Times New Roman" w:hAnsi="Times New Roman" w:cs="Times New Roman"/>
          <w:sz w:val="19"/>
          <w:szCs w:val="19"/>
        </w:rPr>
        <w:t>Laspeyres</w:t>
      </w:r>
      <w:proofErr w:type="spellEnd"/>
      <w:r w:rsidR="00CC216E">
        <w:rPr>
          <w:rFonts w:ascii="Times New Roman" w:hAnsi="Times New Roman" w:cs="Times New Roman"/>
          <w:sz w:val="19"/>
          <w:szCs w:val="19"/>
        </w:rPr>
        <w:t xml:space="preserve"> et les pondérations 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proviennent de l’Enquête Modulaire Intégrée sur les Conditions </w:t>
      </w:r>
      <w:r w:rsidR="009D63FB">
        <w:rPr>
          <w:rFonts w:ascii="Times New Roman" w:hAnsi="Times New Roman" w:cs="Times New Roman"/>
          <w:sz w:val="19"/>
          <w:szCs w:val="19"/>
        </w:rPr>
        <w:t xml:space="preserve">de Vie des Ménages réalisée en </w:t>
      </w:r>
      <w:r w:rsidR="00CC216E" w:rsidRPr="00262D3A">
        <w:rPr>
          <w:rFonts w:ascii="Times New Roman" w:hAnsi="Times New Roman" w:cs="Times New Roman"/>
          <w:sz w:val="19"/>
          <w:szCs w:val="19"/>
        </w:rPr>
        <w:t>2011 (</w:t>
      </w:r>
      <w:proofErr w:type="spellStart"/>
      <w:r w:rsidR="00CC216E" w:rsidRPr="00262D3A">
        <w:rPr>
          <w:rFonts w:ascii="Times New Roman" w:hAnsi="Times New Roman" w:cs="Times New Roman"/>
          <w:sz w:val="19"/>
          <w:szCs w:val="19"/>
        </w:rPr>
        <w:t>EMICoV</w:t>
      </w:r>
      <w:proofErr w:type="spellEnd"/>
      <w:r w:rsidR="009D63FB">
        <w:rPr>
          <w:rFonts w:ascii="Times New Roman" w:hAnsi="Times New Roman" w:cs="Times New Roman"/>
          <w:sz w:val="19"/>
          <w:szCs w:val="19"/>
        </w:rPr>
        <w:t>,</w:t>
      </w:r>
      <w:r w:rsidR="00CC216E" w:rsidRPr="00262D3A">
        <w:rPr>
          <w:rFonts w:ascii="Times New Roman" w:hAnsi="Times New Roman" w:cs="Times New Roman"/>
          <w:sz w:val="19"/>
          <w:szCs w:val="19"/>
        </w:rPr>
        <w:t xml:space="preserve"> 2011).</w:t>
      </w:r>
    </w:p>
    <w:p w14:paraId="3FA3666A" w14:textId="77777777" w:rsidR="003671B8" w:rsidRPr="00262D3A" w:rsidRDefault="003671B8" w:rsidP="00313846">
      <w:pPr>
        <w:pBdr>
          <w:top w:val="double" w:sz="12" w:space="1" w:color="auto" w:shadow="1"/>
          <w:left w:val="double" w:sz="12" w:space="1" w:color="auto" w:shadow="1"/>
          <w:bottom w:val="double" w:sz="12" w:space="0" w:color="auto" w:shadow="1"/>
          <w:right w:val="double" w:sz="12" w:space="4" w:color="auto" w:shadow="1"/>
        </w:pBdr>
        <w:shd w:val="clear" w:color="auto" w:fill="DEEAF6" w:themeFill="accent1" w:themeFillTint="33"/>
        <w:jc w:val="both"/>
        <w:rPr>
          <w:rFonts w:ascii="Times New Roman" w:hAnsi="Times New Roman" w:cs="Times New Roman"/>
          <w:sz w:val="19"/>
          <w:szCs w:val="19"/>
        </w:rPr>
      </w:pPr>
      <w:r w:rsidRPr="00262D3A">
        <w:rPr>
          <w:rFonts w:ascii="Times New Roman" w:hAnsi="Times New Roman" w:cs="Times New Roman"/>
          <w:sz w:val="19"/>
          <w:szCs w:val="19"/>
        </w:rPr>
        <w:t>L’IHPC a pour population de référence l’ensem</w:t>
      </w:r>
      <w:r w:rsidR="006F28B6">
        <w:rPr>
          <w:rFonts w:ascii="Times New Roman" w:hAnsi="Times New Roman" w:cs="Times New Roman"/>
          <w:sz w:val="19"/>
          <w:szCs w:val="19"/>
        </w:rPr>
        <w:t xml:space="preserve">ble des ménages du Bénin découpé en </w:t>
      </w:r>
      <w:r w:rsidRPr="00262D3A">
        <w:rPr>
          <w:rFonts w:ascii="Times New Roman" w:hAnsi="Times New Roman" w:cs="Times New Roman"/>
          <w:sz w:val="19"/>
          <w:szCs w:val="19"/>
        </w:rPr>
        <w:t>cinq (05) grandes régions de production à savoir Sud</w:t>
      </w:r>
      <w:r w:rsidR="00EB46DA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 xml:space="preserve">Ouest (Littoral, Atlantique, Mono et 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Couffo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), Sud</w:t>
      </w:r>
      <w:r w:rsidR="00193395">
        <w:rPr>
          <w:rFonts w:ascii="Times New Roman" w:hAnsi="Times New Roman" w:cs="Times New Roman"/>
          <w:sz w:val="19"/>
          <w:szCs w:val="19"/>
        </w:rPr>
        <w:t>-</w:t>
      </w:r>
      <w:r w:rsidRPr="00262D3A">
        <w:rPr>
          <w:rFonts w:ascii="Times New Roman" w:hAnsi="Times New Roman" w:cs="Times New Roman"/>
          <w:sz w:val="19"/>
          <w:szCs w:val="19"/>
        </w:rPr>
        <w:t>Est (Ouémé-Plateau), Centre (Zou-Collines), No</w:t>
      </w:r>
      <w:r w:rsidR="00EB46DA">
        <w:rPr>
          <w:rFonts w:ascii="Times New Roman" w:hAnsi="Times New Roman" w:cs="Times New Roman"/>
          <w:sz w:val="19"/>
          <w:szCs w:val="19"/>
        </w:rPr>
        <w:t>rd-Est (</w:t>
      </w:r>
      <w:proofErr w:type="spellStart"/>
      <w:r w:rsidR="00EB46DA">
        <w:rPr>
          <w:rFonts w:ascii="Times New Roman" w:hAnsi="Times New Roman" w:cs="Times New Roman"/>
          <w:sz w:val="19"/>
          <w:szCs w:val="19"/>
        </w:rPr>
        <w:t>Borgou</w:t>
      </w:r>
      <w:proofErr w:type="spellEnd"/>
      <w:r w:rsidR="00EB46DA">
        <w:rPr>
          <w:rFonts w:ascii="Times New Roman" w:hAnsi="Times New Roman" w:cs="Times New Roman"/>
          <w:sz w:val="19"/>
          <w:szCs w:val="19"/>
        </w:rPr>
        <w:t>-Alibori) et Nord-</w:t>
      </w:r>
      <w:r w:rsidRPr="00262D3A">
        <w:rPr>
          <w:rFonts w:ascii="Times New Roman" w:hAnsi="Times New Roman" w:cs="Times New Roman"/>
          <w:sz w:val="19"/>
          <w:szCs w:val="19"/>
        </w:rPr>
        <w:t>Ouest (</w:t>
      </w:r>
      <w:proofErr w:type="spellStart"/>
      <w:r w:rsidRPr="00262D3A">
        <w:rPr>
          <w:rFonts w:ascii="Times New Roman" w:hAnsi="Times New Roman" w:cs="Times New Roman"/>
          <w:sz w:val="19"/>
          <w:szCs w:val="19"/>
        </w:rPr>
        <w:t>Atacora-Donga</w:t>
      </w:r>
      <w:proofErr w:type="spellEnd"/>
      <w:r w:rsidRPr="00262D3A">
        <w:rPr>
          <w:rFonts w:ascii="Times New Roman" w:hAnsi="Times New Roman" w:cs="Times New Roman"/>
          <w:sz w:val="19"/>
          <w:szCs w:val="19"/>
        </w:rPr>
        <w:t>). Chaque zone est composé</w:t>
      </w:r>
      <w:r w:rsidR="001D72DF">
        <w:rPr>
          <w:rFonts w:ascii="Times New Roman" w:hAnsi="Times New Roman" w:cs="Times New Roman"/>
          <w:sz w:val="19"/>
          <w:szCs w:val="19"/>
        </w:rPr>
        <w:t xml:space="preserve">e d’un milieu urbain et </w:t>
      </w:r>
      <w:r w:rsidRPr="00262D3A">
        <w:rPr>
          <w:rFonts w:ascii="Times New Roman" w:hAnsi="Times New Roman" w:cs="Times New Roman"/>
          <w:sz w:val="19"/>
          <w:szCs w:val="19"/>
        </w:rPr>
        <w:t>rural. L’indice national est la moyenne pondérée des indices des cinq régions. Le panier de la ménagère comprend 626 variétés suivies dans 1 889 points d’observation. Plus de 15 143 relevés de prix sont effectués chaque mo</w:t>
      </w:r>
      <w:r w:rsidR="00016DCE">
        <w:rPr>
          <w:rFonts w:ascii="Times New Roman" w:hAnsi="Times New Roman" w:cs="Times New Roman"/>
          <w:sz w:val="19"/>
          <w:szCs w:val="19"/>
        </w:rPr>
        <w:t>is par les enquêteurs de l’INStaD</w:t>
      </w:r>
      <w:r w:rsidRPr="00262D3A">
        <w:rPr>
          <w:rFonts w:ascii="Times New Roman" w:hAnsi="Times New Roman" w:cs="Times New Roman"/>
          <w:sz w:val="19"/>
          <w:szCs w:val="19"/>
        </w:rPr>
        <w:t xml:space="preserve">. </w:t>
      </w:r>
    </w:p>
    <w:p w14:paraId="7A9CB6A3" w14:textId="77777777" w:rsidR="003671B8" w:rsidRPr="00262D3A" w:rsidRDefault="003671B8" w:rsidP="003671B8">
      <w:pPr>
        <w:rPr>
          <w:rFonts w:ascii="Times New Roman" w:hAnsi="Times New Roman" w:cs="Times New Roman"/>
        </w:rPr>
      </w:pPr>
    </w:p>
    <w:p w14:paraId="69178C04" w14:textId="6CF8B7A9" w:rsidR="003671B8" w:rsidRPr="00313846" w:rsidRDefault="003671B8" w:rsidP="00F64255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suivant les fonctions</w:t>
      </w:r>
      <w:r w:rsidR="00A9235B" w:rsidRPr="00313846">
        <w:rPr>
          <w:rFonts w:ascii="Times New Roman" w:hAnsi="Times New Roman" w:cs="Times New Roman"/>
          <w:b/>
          <w:bCs/>
          <w:i/>
          <w:iCs/>
          <w:color w:val="0070C0"/>
        </w:rPr>
        <w:tab/>
      </w:r>
    </w:p>
    <w:p w14:paraId="47635895" w14:textId="18AEA007" w:rsidR="003671B8" w:rsidRPr="00414C54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L’Indice Harmonisé des Prix à la Consommat</w:t>
      </w:r>
      <w:r w:rsidR="00EF7E1C" w:rsidRPr="00480C1B">
        <w:rPr>
          <w:rFonts w:ascii="Times New Roman" w:hAnsi="Times New Roman" w:cs="Times New Roman"/>
          <w:bCs/>
          <w:i/>
          <w:iCs/>
        </w:rPr>
        <w:t>io</w:t>
      </w:r>
      <w:r w:rsidR="00F15652" w:rsidRPr="00480C1B">
        <w:rPr>
          <w:rFonts w:ascii="Times New Roman" w:hAnsi="Times New Roman" w:cs="Times New Roman"/>
          <w:bCs/>
          <w:i/>
          <w:iCs/>
        </w:rPr>
        <w:t>n du</w:t>
      </w:r>
      <w:r w:rsidR="003C2A0D" w:rsidRPr="00480C1B">
        <w:rPr>
          <w:rFonts w:ascii="Times New Roman" w:hAnsi="Times New Roman" w:cs="Times New Roman"/>
          <w:bCs/>
          <w:i/>
          <w:iCs/>
        </w:rPr>
        <w:t xml:space="preserve"> mois </w:t>
      </w:r>
      <w:r w:rsidR="00CF64A0">
        <w:rPr>
          <w:rFonts w:ascii="Times New Roman" w:hAnsi="Times New Roman" w:cs="Times New Roman"/>
          <w:bCs/>
          <w:i/>
          <w:iCs/>
        </w:rPr>
        <w:t xml:space="preserve">de </w:t>
      </w:r>
      <w:r w:rsidR="005C0071">
        <w:rPr>
          <w:rFonts w:ascii="Times New Roman" w:hAnsi="Times New Roman" w:cs="Times New Roman"/>
          <w:bCs/>
          <w:i/>
          <w:iCs/>
        </w:rPr>
        <w:t>décembre</w:t>
      </w:r>
      <w:r w:rsidR="003A3B47">
        <w:rPr>
          <w:rFonts w:ascii="Times New Roman" w:hAnsi="Times New Roman" w:cs="Times New Roman"/>
          <w:bCs/>
          <w:i/>
          <w:iCs/>
        </w:rPr>
        <w:t xml:space="preserve"> </w:t>
      </w:r>
      <w:r w:rsidR="000A386D" w:rsidRPr="00480C1B">
        <w:rPr>
          <w:rFonts w:ascii="Times New Roman" w:hAnsi="Times New Roman" w:cs="Times New Roman"/>
          <w:bCs/>
          <w:i/>
          <w:iCs/>
        </w:rPr>
        <w:t>2022</w:t>
      </w:r>
      <w:r w:rsidR="000F54C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E043E" w:rsidRPr="00480C1B">
        <w:rPr>
          <w:rFonts w:ascii="Times New Roman" w:hAnsi="Times New Roman" w:cs="Times New Roman"/>
          <w:bCs/>
          <w:i/>
          <w:iCs/>
        </w:rPr>
        <w:t>a</w:t>
      </w:r>
      <w:r w:rsidR="001D3E26" w:rsidRPr="00480C1B">
        <w:rPr>
          <w:rFonts w:ascii="Times New Roman" w:hAnsi="Times New Roman" w:cs="Times New Roman"/>
          <w:bCs/>
          <w:i/>
          <w:iCs/>
        </w:rPr>
        <w:t xml:space="preserve"> enregistré une</w:t>
      </w:r>
      <w:r w:rsidR="00B02E78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DF31B8">
        <w:rPr>
          <w:rFonts w:ascii="Times New Roman" w:hAnsi="Times New Roman" w:cs="Times New Roman"/>
          <w:bCs/>
          <w:i/>
          <w:iCs/>
        </w:rPr>
        <w:t xml:space="preserve">légère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5E043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D72DF" w:rsidRPr="00480C1B">
        <w:rPr>
          <w:rFonts w:ascii="Times New Roman" w:hAnsi="Times New Roman" w:cs="Times New Roman"/>
          <w:bCs/>
          <w:i/>
          <w:iCs/>
        </w:rPr>
        <w:t xml:space="preserve">pour ressortir </w:t>
      </w:r>
      <w:r w:rsidR="00205E72" w:rsidRPr="00480C1B">
        <w:rPr>
          <w:rFonts w:ascii="Times New Roman" w:hAnsi="Times New Roman" w:cs="Times New Roman"/>
          <w:bCs/>
          <w:i/>
          <w:iCs/>
        </w:rPr>
        <w:t xml:space="preserve">à </w:t>
      </w:r>
      <w:r w:rsidR="00B727DA">
        <w:rPr>
          <w:rFonts w:ascii="Times New Roman" w:hAnsi="Times New Roman" w:cs="Times New Roman"/>
          <w:b/>
          <w:bCs/>
          <w:i/>
          <w:iCs/>
        </w:rPr>
        <w:t>110,8</w:t>
      </w:r>
      <w:r w:rsidR="009A6381">
        <w:rPr>
          <w:rFonts w:ascii="Times New Roman" w:hAnsi="Times New Roman" w:cs="Times New Roman"/>
          <w:bCs/>
          <w:i/>
          <w:iCs/>
        </w:rPr>
        <w:t xml:space="preserve"> </w:t>
      </w:r>
      <w:r w:rsidR="00A55F2B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B727DA">
        <w:rPr>
          <w:rFonts w:ascii="Times New Roman" w:hAnsi="Times New Roman" w:cs="Times New Roman"/>
          <w:b/>
          <w:bCs/>
          <w:i/>
          <w:iCs/>
        </w:rPr>
        <w:t>110,5</w:t>
      </w:r>
      <w:r w:rsidR="00991A2E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un mois plus tôt. Il était de </w:t>
      </w:r>
      <w:r w:rsidR="00B727DA">
        <w:rPr>
          <w:rFonts w:ascii="Times New Roman" w:hAnsi="Times New Roman" w:cs="Times New Roman"/>
          <w:b/>
          <w:bCs/>
          <w:i/>
          <w:iCs/>
        </w:rPr>
        <w:t>107,8</w:t>
      </w:r>
      <w:r w:rsidR="008C32BE" w:rsidRPr="00480C1B">
        <w:rPr>
          <w:rFonts w:ascii="Times New Roman" w:hAnsi="Times New Roman" w:cs="Times New Roman"/>
          <w:bCs/>
          <w:i/>
          <w:iCs/>
        </w:rPr>
        <w:t xml:space="preserve"> en </w:t>
      </w:r>
      <w:r w:rsidR="005C0071">
        <w:rPr>
          <w:rFonts w:ascii="Times New Roman" w:hAnsi="Times New Roman" w:cs="Times New Roman"/>
          <w:bCs/>
          <w:i/>
          <w:iCs/>
        </w:rPr>
        <w:t>décembre</w:t>
      </w:r>
      <w:r w:rsidR="0009643F">
        <w:rPr>
          <w:rFonts w:ascii="Times New Roman" w:hAnsi="Times New Roman" w:cs="Times New Roman"/>
          <w:bCs/>
          <w:i/>
          <w:iCs/>
        </w:rPr>
        <w:t xml:space="preserve"> 2021</w:t>
      </w:r>
      <w:r w:rsidR="00B60197">
        <w:rPr>
          <w:rFonts w:ascii="Times New Roman" w:hAnsi="Times New Roman" w:cs="Times New Roman"/>
          <w:bCs/>
          <w:i/>
          <w:iCs/>
        </w:rPr>
        <w:t xml:space="preserve">, </w:t>
      </w:r>
      <w:r w:rsidR="00D46434">
        <w:rPr>
          <w:rFonts w:ascii="Times New Roman" w:hAnsi="Times New Roman" w:cs="Times New Roman"/>
          <w:bCs/>
          <w:i/>
          <w:iCs/>
        </w:rPr>
        <w:t xml:space="preserve">soit une </w:t>
      </w:r>
      <w:r w:rsidR="00A03593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 w:rsidR="00B727DA">
        <w:rPr>
          <w:rFonts w:ascii="Times New Roman" w:hAnsi="Times New Roman" w:cs="Times New Roman"/>
          <w:bCs/>
          <w:i/>
          <w:iCs/>
        </w:rPr>
        <w:t>de 2,8</w:t>
      </w:r>
      <w:r w:rsidR="0009643F" w:rsidRPr="0009643F">
        <w:rPr>
          <w:rFonts w:ascii="Times New Roman" w:hAnsi="Times New Roman" w:cs="Times New Roman"/>
          <w:b/>
          <w:bCs/>
          <w:i/>
          <w:iCs/>
        </w:rPr>
        <w:t>%</w:t>
      </w:r>
      <w:r w:rsidR="0009643F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414C54" w:rsidRPr="00414C54">
        <w:rPr>
          <w:rFonts w:ascii="Times New Roman" w:hAnsi="Times New Roman" w:cs="Times New Roman"/>
          <w:bCs/>
          <w:i/>
          <w:iCs/>
        </w:rPr>
        <w:t xml:space="preserve">en glissement </w:t>
      </w:r>
      <w:r w:rsidR="00414C54">
        <w:rPr>
          <w:rFonts w:ascii="Times New Roman" w:hAnsi="Times New Roman" w:cs="Times New Roman"/>
          <w:bCs/>
          <w:i/>
          <w:iCs/>
        </w:rPr>
        <w:t>annuel.</w:t>
      </w:r>
    </w:p>
    <w:p w14:paraId="494A31E2" w14:textId="6F749A0D" w:rsidR="003671B8" w:rsidRPr="00480C1B" w:rsidRDefault="00414C54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>
        <w:rPr>
          <w:rFonts w:ascii="Times New Roman" w:hAnsi="Times New Roman" w:cs="Times New Roman"/>
          <w:bCs/>
          <w:i/>
          <w:iCs/>
        </w:rPr>
        <w:t>La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A3B47">
        <w:rPr>
          <w:rFonts w:ascii="Times New Roman" w:hAnsi="Times New Roman" w:cs="Times New Roman"/>
          <w:bCs/>
          <w:i/>
          <w:iCs/>
        </w:rPr>
        <w:t>hausse</w:t>
      </w:r>
      <w:r w:rsidR="00D46434">
        <w:rPr>
          <w:rFonts w:ascii="Times New Roman" w:hAnsi="Times New Roman" w:cs="Times New Roman"/>
          <w:bCs/>
          <w:i/>
          <w:iCs/>
        </w:rPr>
        <w:t xml:space="preserve"> </w:t>
      </w:r>
      <w:r>
        <w:rPr>
          <w:rFonts w:ascii="Times New Roman" w:hAnsi="Times New Roman" w:cs="Times New Roman"/>
          <w:bCs/>
          <w:i/>
          <w:iCs/>
        </w:rPr>
        <w:t>mensuelle</w:t>
      </w:r>
      <w:r w:rsidR="00991A2E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32968" w:rsidRPr="00480C1B">
        <w:rPr>
          <w:rFonts w:ascii="Times New Roman" w:hAnsi="Times New Roman" w:cs="Times New Roman"/>
          <w:bCs/>
          <w:i/>
          <w:iCs/>
        </w:rPr>
        <w:t>de l’indice e</w:t>
      </w:r>
      <w:r w:rsidR="003A1ABA" w:rsidRPr="00480C1B">
        <w:rPr>
          <w:rFonts w:ascii="Times New Roman" w:hAnsi="Times New Roman" w:cs="Times New Roman"/>
          <w:bCs/>
          <w:i/>
          <w:iCs/>
        </w:rPr>
        <w:t>st</w:t>
      </w:r>
      <w:r w:rsidR="00A415EF" w:rsidRPr="00480C1B">
        <w:rPr>
          <w:rFonts w:ascii="Times New Roman" w:hAnsi="Times New Roman" w:cs="Times New Roman"/>
          <w:bCs/>
          <w:i/>
          <w:iCs/>
        </w:rPr>
        <w:t xml:space="preserve"> imputable essentiellement à </w:t>
      </w:r>
      <w:r w:rsidR="003A3B47">
        <w:rPr>
          <w:rFonts w:ascii="Times New Roman" w:hAnsi="Times New Roman" w:cs="Times New Roman"/>
          <w:bCs/>
          <w:i/>
          <w:iCs/>
        </w:rPr>
        <w:t xml:space="preserve">l’augmentation </w:t>
      </w:r>
      <w:r w:rsidR="00C83454" w:rsidRPr="00480C1B">
        <w:rPr>
          <w:rFonts w:ascii="Times New Roman" w:hAnsi="Times New Roman" w:cs="Times New Roman"/>
          <w:bCs/>
          <w:i/>
          <w:iCs/>
        </w:rPr>
        <w:t xml:space="preserve">des prix </w:t>
      </w:r>
      <w:r w:rsidR="00332968" w:rsidRPr="00480C1B">
        <w:rPr>
          <w:rFonts w:ascii="Times New Roman" w:hAnsi="Times New Roman" w:cs="Times New Roman"/>
          <w:bCs/>
          <w:i/>
          <w:iCs/>
        </w:rPr>
        <w:t>des biens</w:t>
      </w:r>
      <w:r w:rsidR="008C453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513960">
        <w:rPr>
          <w:rFonts w:ascii="Times New Roman" w:hAnsi="Times New Roman" w:cs="Times New Roman"/>
          <w:bCs/>
          <w:i/>
          <w:iCs/>
        </w:rPr>
        <w:t xml:space="preserve">et services des </w:t>
      </w:r>
      <w:r w:rsidR="00C83454" w:rsidRPr="00480C1B">
        <w:rPr>
          <w:rFonts w:ascii="Times New Roman" w:hAnsi="Times New Roman" w:cs="Times New Roman"/>
          <w:bCs/>
          <w:i/>
          <w:iCs/>
        </w:rPr>
        <w:t>fonction</w:t>
      </w:r>
      <w:r w:rsidR="00513960">
        <w:rPr>
          <w:rFonts w:ascii="Times New Roman" w:hAnsi="Times New Roman" w:cs="Times New Roman"/>
          <w:bCs/>
          <w:i/>
          <w:iCs/>
        </w:rPr>
        <w:t>s</w:t>
      </w:r>
      <w:r w:rsidR="00C80053">
        <w:rPr>
          <w:rFonts w:ascii="Times New Roman" w:hAnsi="Times New Roman" w:cs="Times New Roman"/>
          <w:bCs/>
          <w:i/>
          <w:iCs/>
        </w:rPr>
        <w:t xml:space="preserve"> </w:t>
      </w:r>
      <w:r w:rsidR="00C80053" w:rsidRPr="00480C1B">
        <w:rPr>
          <w:rFonts w:ascii="Times New Roman" w:hAnsi="Times New Roman" w:cs="Times New Roman"/>
          <w:bCs/>
          <w:i/>
          <w:iCs/>
        </w:rPr>
        <w:t>« </w:t>
      </w:r>
      <w:r w:rsidR="00C80053">
        <w:rPr>
          <w:rFonts w:ascii="Times New Roman" w:hAnsi="Times New Roman" w:cs="Times New Roman"/>
          <w:bCs/>
          <w:i/>
          <w:iCs/>
        </w:rPr>
        <w:t>Loisirs et culture</w:t>
      </w:r>
      <w:r w:rsidR="00C80053" w:rsidRPr="00480C1B">
        <w:rPr>
          <w:rFonts w:ascii="Times New Roman" w:hAnsi="Times New Roman" w:cs="Times New Roman"/>
          <w:bCs/>
          <w:i/>
          <w:iCs/>
        </w:rPr>
        <w:t> »</w:t>
      </w:r>
      <w:r w:rsidR="00C80053">
        <w:rPr>
          <w:rFonts w:ascii="Times New Roman" w:hAnsi="Times New Roman" w:cs="Times New Roman"/>
          <w:b/>
          <w:bCs/>
          <w:i/>
          <w:iCs/>
        </w:rPr>
        <w:t xml:space="preserve"> (+1,3</w:t>
      </w:r>
      <w:r w:rsidR="00C8005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80053">
        <w:rPr>
          <w:rFonts w:ascii="Times New Roman" w:hAnsi="Times New Roman" w:cs="Times New Roman"/>
          <w:bCs/>
          <w:i/>
          <w:iCs/>
        </w:rPr>
        <w:t xml:space="preserve">, </w:t>
      </w:r>
      <w:r w:rsidR="00C80053" w:rsidRPr="00480C1B">
        <w:rPr>
          <w:rFonts w:ascii="Times New Roman" w:hAnsi="Times New Roman" w:cs="Times New Roman"/>
          <w:bCs/>
          <w:i/>
          <w:iCs/>
        </w:rPr>
        <w:t>« </w:t>
      </w:r>
      <w:r w:rsidR="00C80053">
        <w:rPr>
          <w:rFonts w:ascii="Times New Roman" w:hAnsi="Times New Roman" w:cs="Times New Roman"/>
          <w:bCs/>
          <w:i/>
          <w:iCs/>
        </w:rPr>
        <w:t>Biens et services divers</w:t>
      </w:r>
      <w:r w:rsidR="00C80053" w:rsidRPr="00480C1B">
        <w:rPr>
          <w:rFonts w:ascii="Times New Roman" w:hAnsi="Times New Roman" w:cs="Times New Roman"/>
          <w:bCs/>
          <w:i/>
          <w:iCs/>
        </w:rPr>
        <w:t> »</w:t>
      </w:r>
      <w:r w:rsidR="00C80053">
        <w:rPr>
          <w:rFonts w:ascii="Times New Roman" w:hAnsi="Times New Roman" w:cs="Times New Roman"/>
          <w:b/>
          <w:bCs/>
          <w:i/>
          <w:iCs/>
        </w:rPr>
        <w:t xml:space="preserve"> (+0,8</w:t>
      </w:r>
      <w:r w:rsidR="00C8005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80053">
        <w:rPr>
          <w:rFonts w:ascii="Times New Roman" w:hAnsi="Times New Roman" w:cs="Times New Roman"/>
          <w:bCs/>
          <w:i/>
          <w:iCs/>
        </w:rPr>
        <w:t xml:space="preserve">, </w:t>
      </w:r>
      <w:r w:rsidR="000B0CBB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C80053">
        <w:rPr>
          <w:rFonts w:ascii="Times New Roman" w:hAnsi="Times New Roman" w:cs="Times New Roman"/>
          <w:bCs/>
          <w:i/>
          <w:iCs/>
        </w:rPr>
        <w:t>« </w:t>
      </w:r>
      <w:r w:rsidR="00C80053" w:rsidRPr="00C80053">
        <w:rPr>
          <w:rFonts w:ascii="Times New Roman" w:hAnsi="Times New Roman" w:cs="Times New Roman"/>
          <w:bCs/>
          <w:i/>
          <w:iCs/>
        </w:rPr>
        <w:t>Articles d'habillement et chaussures</w:t>
      </w:r>
      <w:r w:rsidR="00C80053">
        <w:rPr>
          <w:rFonts w:ascii="Times New Roman" w:hAnsi="Times New Roman" w:cs="Times New Roman"/>
          <w:bCs/>
          <w:i/>
          <w:iCs/>
        </w:rPr>
        <w:t xml:space="preserve"> » </w:t>
      </w:r>
      <w:r w:rsidR="00C80053">
        <w:rPr>
          <w:rFonts w:ascii="Times New Roman" w:hAnsi="Times New Roman" w:cs="Times New Roman"/>
          <w:b/>
          <w:bCs/>
          <w:i/>
          <w:iCs/>
        </w:rPr>
        <w:t>(+0,6</w:t>
      </w:r>
      <w:r w:rsidR="00C80053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80053">
        <w:rPr>
          <w:rFonts w:ascii="Times New Roman" w:hAnsi="Times New Roman" w:cs="Times New Roman"/>
          <w:bCs/>
          <w:i/>
          <w:iCs/>
        </w:rPr>
        <w:t xml:space="preserve"> et </w:t>
      </w:r>
      <w:r w:rsidR="00B727DA" w:rsidRPr="00480C1B">
        <w:rPr>
          <w:rFonts w:ascii="Times New Roman" w:hAnsi="Times New Roman" w:cs="Times New Roman"/>
          <w:bCs/>
          <w:i/>
          <w:iCs/>
        </w:rPr>
        <w:t>« </w:t>
      </w:r>
      <w:r w:rsidR="00B727DA" w:rsidRPr="00A03593">
        <w:rPr>
          <w:rFonts w:ascii="Times New Roman" w:hAnsi="Times New Roman" w:cs="Times New Roman"/>
          <w:bCs/>
          <w:i/>
          <w:iCs/>
        </w:rPr>
        <w:t>Produits alimentaires et boissons non alcoolisées</w:t>
      </w:r>
      <w:r w:rsidR="00B727DA" w:rsidRPr="00480C1B">
        <w:rPr>
          <w:rFonts w:ascii="Times New Roman" w:hAnsi="Times New Roman" w:cs="Times New Roman"/>
          <w:bCs/>
          <w:i/>
          <w:iCs/>
        </w:rPr>
        <w:t> »</w:t>
      </w:r>
      <w:r w:rsidR="00B727DA">
        <w:rPr>
          <w:rFonts w:ascii="Times New Roman" w:hAnsi="Times New Roman" w:cs="Times New Roman"/>
          <w:b/>
          <w:bCs/>
          <w:i/>
          <w:iCs/>
        </w:rPr>
        <w:t xml:space="preserve"> (+0,4</w:t>
      </w:r>
      <w:r w:rsidR="00B727DA" w:rsidRPr="00480C1B">
        <w:rPr>
          <w:rFonts w:ascii="Times New Roman" w:hAnsi="Times New Roman" w:cs="Times New Roman"/>
          <w:b/>
          <w:bCs/>
          <w:i/>
          <w:iCs/>
        </w:rPr>
        <w:t>%)</w:t>
      </w:r>
      <w:r w:rsidR="00C80053">
        <w:rPr>
          <w:rFonts w:ascii="Times New Roman" w:hAnsi="Times New Roman" w:cs="Times New Roman"/>
          <w:bCs/>
          <w:i/>
          <w:iCs/>
        </w:rPr>
        <w:t>.</w:t>
      </w:r>
    </w:p>
    <w:p w14:paraId="3E687834" w14:textId="4C86F772" w:rsidR="003671B8" w:rsidRDefault="00CB7077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Les </w:t>
      </w:r>
      <w:r w:rsidR="00CE5777" w:rsidRPr="00480C1B">
        <w:rPr>
          <w:rFonts w:ascii="Times New Roman" w:hAnsi="Times New Roman" w:cs="Times New Roman"/>
          <w:bCs/>
          <w:i/>
          <w:iCs/>
        </w:rPr>
        <w:t xml:space="preserve">principaux </w:t>
      </w:r>
      <w:r w:rsidR="002A5C1C">
        <w:rPr>
          <w:rFonts w:ascii="Times New Roman" w:hAnsi="Times New Roman" w:cs="Times New Roman"/>
          <w:bCs/>
          <w:i/>
          <w:iCs/>
        </w:rPr>
        <w:t xml:space="preserve">groupes de </w:t>
      </w:r>
      <w:r w:rsidR="00970B8C">
        <w:rPr>
          <w:rFonts w:ascii="Times New Roman" w:hAnsi="Times New Roman" w:cs="Times New Roman"/>
          <w:bCs/>
          <w:i/>
          <w:iCs/>
        </w:rPr>
        <w:t>biens et services</w:t>
      </w:r>
      <w:r w:rsidR="002A5C1C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dont</w:t>
      </w:r>
      <w:r w:rsidR="00CA2E9B">
        <w:rPr>
          <w:rFonts w:ascii="Times New Roman" w:hAnsi="Times New Roman" w:cs="Times New Roman"/>
          <w:bCs/>
          <w:i/>
          <w:iCs/>
        </w:rPr>
        <w:t xml:space="preserve"> les prix ont contribué à cette </w:t>
      </w:r>
      <w:r w:rsidR="00970B8C">
        <w:rPr>
          <w:rFonts w:ascii="Times New Roman" w:hAnsi="Times New Roman" w:cs="Times New Roman"/>
          <w:bCs/>
          <w:i/>
          <w:iCs/>
        </w:rPr>
        <w:t>augmentation</w:t>
      </w:r>
      <w:r w:rsidR="00CA2E9B">
        <w:rPr>
          <w:rFonts w:ascii="Times New Roman" w:hAnsi="Times New Roman" w:cs="Times New Roman"/>
          <w:bCs/>
          <w:i/>
          <w:iCs/>
        </w:rPr>
        <w:t xml:space="preserve"> </w:t>
      </w:r>
      <w:r w:rsidR="003671B8" w:rsidRPr="00480C1B">
        <w:rPr>
          <w:rFonts w:ascii="Times New Roman" w:hAnsi="Times New Roman" w:cs="Times New Roman"/>
          <w:bCs/>
          <w:i/>
          <w:iCs/>
        </w:rPr>
        <w:t>sont :</w:t>
      </w:r>
    </w:p>
    <w:p w14:paraId="5781FF62" w14:textId="784367EA" w:rsidR="00F54F0A" w:rsidRDefault="00F54F0A" w:rsidP="00F54F0A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</w:t>
      </w:r>
      <w:r w:rsidR="00D0048E">
        <w:rPr>
          <w:rFonts w:ascii="Times New Roman" w:hAnsi="Times New Roman" w:cs="Times New Roman"/>
          <w:bCs/>
          <w:i/>
          <w:iCs/>
          <w:sz w:val="23"/>
          <w:szCs w:val="23"/>
        </w:rPr>
        <w:t>Articles et matériels de loisirs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 » </w:t>
      </w:r>
      <w:r w:rsidR="00D0048E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(+14,6</w:t>
      </w:r>
      <w:r w:rsidRPr="00017FDB">
        <w:rPr>
          <w:rFonts w:ascii="Times New Roman" w:hAnsi="Times New Roman" w:cs="Times New Roman"/>
          <w:b/>
          <w:bCs/>
          <w:i/>
          <w:iCs/>
          <w:sz w:val="23"/>
          <w:szCs w:val="23"/>
        </w:rPr>
        <w:t>%</w:t>
      </w:r>
      <w:r>
        <w:rPr>
          <w:rFonts w:ascii="Times New Roman" w:hAnsi="Times New Roman" w:cs="Times New Roman"/>
          <w:b/>
          <w:bCs/>
          <w:i/>
          <w:iCs/>
          <w:sz w:val="23"/>
          <w:szCs w:val="23"/>
        </w:rPr>
        <w:t>)</w:t>
      </w:r>
      <w:r w:rsidRPr="00017FDB">
        <w:rPr>
          <w:rFonts w:ascii="Times New Roman" w:hAnsi="Times New Roman" w:cs="Times New Roman"/>
          <w:bCs/>
          <w:iCs/>
          <w:sz w:val="23"/>
          <w:szCs w:val="23"/>
        </w:rPr>
        <w:t>,</w:t>
      </w:r>
      <w:r>
        <w:rPr>
          <w:rFonts w:ascii="Times New Roman" w:hAnsi="Times New Roman" w:cs="Times New Roman"/>
          <w:bCs/>
          <w:iCs/>
          <w:sz w:val="23"/>
          <w:szCs w:val="23"/>
        </w:rPr>
        <w:t xml:space="preserve"> </w:t>
      </w:r>
      <w:r w:rsidR="006714E5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cause de la hausse de la demande des jouets et des articles 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de </w:t>
      </w:r>
      <w:r w:rsidR="006714E5">
        <w:rPr>
          <w:rFonts w:ascii="Times New Roman" w:hAnsi="Times New Roman" w:cs="Times New Roman"/>
          <w:bCs/>
          <w:i/>
          <w:iCs/>
          <w:sz w:val="23"/>
          <w:szCs w:val="23"/>
        </w:rPr>
        <w:t>passe-temps pour les fêtes de fin d’année</w:t>
      </w:r>
      <w:r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Pr="003D3CEE">
        <w:rPr>
          <w:rFonts w:ascii="Times New Roman" w:hAnsi="Times New Roman" w:cs="Times New Roman"/>
          <w:bCs/>
          <w:i/>
          <w:iCs/>
          <w:sz w:val="23"/>
          <w:szCs w:val="23"/>
        </w:rPr>
        <w:t>;</w:t>
      </w:r>
      <w:r w:rsidRPr="00B20B3B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</w:p>
    <w:p w14:paraId="6A80F1B9" w14:textId="2E824781" w:rsidR="00DF31B8" w:rsidRDefault="00A03593" w:rsidP="00DF3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="00D0048E" w:rsidRPr="00214D11">
        <w:rPr>
          <w:rFonts w:ascii="Times New Roman" w:hAnsi="Times New Roman" w:cs="Times New Roman"/>
          <w:bCs/>
          <w:i/>
          <w:iCs/>
        </w:rPr>
        <w:t>Légumes frais en fruits ou racine 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D0048E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(+5,2</w:t>
      </w:r>
      <w:r w:rsidRPr="006E03A3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F54F0A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>en raison</w:t>
      </w:r>
      <w:r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de </w:t>
      </w:r>
      <w:r w:rsidR="006714E5">
        <w:rPr>
          <w:rFonts w:ascii="Times New Roman" w:hAnsi="Times New Roman" w:cs="Times New Roman"/>
          <w:bCs/>
          <w:i/>
          <w:iCs/>
          <w:sz w:val="23"/>
          <w:szCs w:val="23"/>
        </w:rPr>
        <w:t>l’augmentation des prix de la tomate fraîche</w:t>
      </w:r>
      <w:r w:rsidR="000E11C7">
        <w:rPr>
          <w:rFonts w:ascii="Times New Roman" w:hAnsi="Times New Roman" w:cs="Times New Roman"/>
          <w:bCs/>
          <w:i/>
          <w:iCs/>
          <w:sz w:val="23"/>
          <w:szCs w:val="23"/>
        </w:rPr>
        <w:t>, suscité par la hausse de la demande cumulée à la</w:t>
      </w:r>
      <w:r w:rsidR="000E11C7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0E11C7">
        <w:rPr>
          <w:rFonts w:ascii="Times New Roman" w:hAnsi="Times New Roman" w:cs="Times New Roman"/>
          <w:bCs/>
          <w:i/>
          <w:iCs/>
          <w:sz w:val="23"/>
          <w:szCs w:val="23"/>
        </w:rPr>
        <w:t>baisse de l’offre du fait de la saison</w:t>
      </w:r>
      <w:r w:rsidR="000E11C7" w:rsidRPr="006E03A3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;</w:t>
      </w:r>
    </w:p>
    <w:p w14:paraId="7C5ED483" w14:textId="77777777" w:rsidR="00DF31B8" w:rsidRDefault="006E03A3" w:rsidP="00DF3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«</w:t>
      </w:r>
      <w:r w:rsidR="00D0048E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Salons de coiffure et instituts de soins et de beauté 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D0048E"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(+2,9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, liée</w:t>
      </w:r>
      <w:r w:rsidR="002E1050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</w:t>
      </w:r>
      <w:r w:rsidR="00755B4A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à une 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plus </w:t>
      </w:r>
      <w:r w:rsidR="00755B4A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grande affluence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durant la période des fêtes de fin d’année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7DEC74D4" w14:textId="7B2183B2" w:rsidR="00DF31B8" w:rsidRDefault="0095394B" w:rsidP="00DF3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« </w:t>
      </w:r>
      <w:r w:rsidR="00D0048E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Tissus d'habillement 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» </w:t>
      </w:r>
      <w:r w:rsidR="00D0048E"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(+1,6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%)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2E7D41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liée 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à une forte demande pour les fêtes</w:t>
      </w:r>
      <w:r w:rsidR="00DF31B8">
        <w:rPr>
          <w:rFonts w:ascii="Times New Roman" w:hAnsi="Times New Roman" w:cs="Times New Roman"/>
          <w:bCs/>
          <w:i/>
          <w:iCs/>
          <w:sz w:val="23"/>
          <w:szCs w:val="23"/>
        </w:rPr>
        <w:t> ;</w:t>
      </w:r>
    </w:p>
    <w:p w14:paraId="7B58644C" w14:textId="734AD3DC" w:rsidR="00D0048E" w:rsidRPr="00DF31B8" w:rsidRDefault="00D0048E" w:rsidP="00DF31B8">
      <w:pPr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  <w:sz w:val="23"/>
          <w:szCs w:val="23"/>
        </w:rPr>
      </w:pP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« Céréales non transformées » </w:t>
      </w:r>
      <w:r w:rsidRPr="00DF31B8">
        <w:rPr>
          <w:rFonts w:ascii="Times New Roman" w:hAnsi="Times New Roman" w:cs="Times New Roman"/>
          <w:b/>
          <w:bCs/>
          <w:i/>
          <w:iCs/>
          <w:sz w:val="23"/>
          <w:szCs w:val="23"/>
        </w:rPr>
        <w:t>(+1,3%)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, 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en lien avec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 xml:space="preserve"> l’augmentation des prix </w:t>
      </w:r>
      <w:r w:rsidR="00DF31B8"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du riz importé et du maïs en grain</w:t>
      </w:r>
      <w:r w:rsidRPr="00DF31B8">
        <w:rPr>
          <w:rFonts w:ascii="Times New Roman" w:hAnsi="Times New Roman" w:cs="Times New Roman"/>
          <w:bCs/>
          <w:i/>
          <w:iCs/>
          <w:sz w:val="23"/>
          <w:szCs w:val="23"/>
        </w:rPr>
        <w:t>.</w:t>
      </w:r>
    </w:p>
    <w:p w14:paraId="6538548B" w14:textId="63171CFC" w:rsidR="00BE5BAA" w:rsidRDefault="00BE5BAA" w:rsidP="00BE5BAA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BE5BAA">
        <w:rPr>
          <w:rFonts w:ascii="Times New Roman" w:hAnsi="Times New Roman" w:cs="Times New Roman"/>
          <w:bCs/>
          <w:i/>
          <w:iCs/>
        </w:rPr>
        <w:t xml:space="preserve">L’évolution observée sur le mois a été modérée par la </w:t>
      </w:r>
      <w:r>
        <w:rPr>
          <w:rFonts w:ascii="Times New Roman" w:hAnsi="Times New Roman" w:cs="Times New Roman"/>
          <w:bCs/>
          <w:i/>
          <w:iCs/>
        </w:rPr>
        <w:t>baisse</w:t>
      </w:r>
      <w:r w:rsidR="00DF31B8">
        <w:rPr>
          <w:rFonts w:ascii="Times New Roman" w:hAnsi="Times New Roman" w:cs="Times New Roman"/>
          <w:bCs/>
          <w:i/>
          <w:iCs/>
        </w:rPr>
        <w:t xml:space="preserve"> des prix des</w:t>
      </w:r>
      <w:r w:rsidRPr="00BE5BAA">
        <w:rPr>
          <w:rFonts w:ascii="Times New Roman" w:hAnsi="Times New Roman" w:cs="Times New Roman"/>
          <w:bCs/>
          <w:i/>
          <w:iCs/>
        </w:rPr>
        <w:t xml:space="preserve"> groupe</w:t>
      </w:r>
      <w:r w:rsidR="00DF31B8">
        <w:rPr>
          <w:rFonts w:ascii="Times New Roman" w:hAnsi="Times New Roman" w:cs="Times New Roman"/>
          <w:bCs/>
          <w:i/>
          <w:iCs/>
        </w:rPr>
        <w:t>s</w:t>
      </w:r>
      <w:r w:rsidRPr="00BE5BAA">
        <w:rPr>
          <w:rFonts w:ascii="Times New Roman" w:hAnsi="Times New Roman" w:cs="Times New Roman"/>
          <w:bCs/>
          <w:i/>
          <w:iCs/>
        </w:rPr>
        <w:t xml:space="preserve"> de produits</w:t>
      </w:r>
      <w:r>
        <w:rPr>
          <w:rFonts w:ascii="Times New Roman" w:hAnsi="Times New Roman" w:cs="Times New Roman"/>
          <w:bCs/>
          <w:i/>
          <w:iCs/>
        </w:rPr>
        <w:t xml:space="preserve"> tels que :</w:t>
      </w:r>
    </w:p>
    <w:p w14:paraId="2BF67430" w14:textId="157C60C0" w:rsidR="00214D11" w:rsidRDefault="00BE5BAA" w:rsidP="00214D11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BE5BAA">
        <w:rPr>
          <w:rFonts w:ascii="Times New Roman" w:hAnsi="Times New Roman" w:cs="Times New Roman"/>
          <w:bCs/>
          <w:i/>
          <w:iCs/>
        </w:rPr>
        <w:t xml:space="preserve">« Huiles » </w:t>
      </w:r>
      <w:r w:rsidR="006714E5">
        <w:rPr>
          <w:rFonts w:ascii="Times New Roman" w:hAnsi="Times New Roman" w:cs="Times New Roman"/>
          <w:b/>
          <w:bCs/>
          <w:i/>
          <w:iCs/>
        </w:rPr>
        <w:t>(-2,1</w:t>
      </w:r>
      <w:r w:rsidRPr="00BE5BAA">
        <w:rPr>
          <w:rFonts w:ascii="Times New Roman" w:hAnsi="Times New Roman" w:cs="Times New Roman"/>
          <w:b/>
          <w:bCs/>
          <w:i/>
          <w:iCs/>
        </w:rPr>
        <w:t>%)</w:t>
      </w:r>
      <w:r w:rsidRPr="00BE5BAA">
        <w:rPr>
          <w:rFonts w:ascii="Times New Roman" w:hAnsi="Times New Roman" w:cs="Times New Roman"/>
          <w:bCs/>
          <w:i/>
          <w:iCs/>
        </w:rPr>
        <w:t xml:space="preserve">, </w:t>
      </w:r>
      <w:r>
        <w:rPr>
          <w:rFonts w:ascii="Times New Roman" w:hAnsi="Times New Roman" w:cs="Times New Roman"/>
          <w:bCs/>
          <w:i/>
          <w:iCs/>
        </w:rPr>
        <w:t>à cause du repli des prix de l’huile végétale ;</w:t>
      </w:r>
    </w:p>
    <w:p w14:paraId="3F895F0B" w14:textId="639B9706" w:rsidR="00BE5BAA" w:rsidRPr="00214D11" w:rsidRDefault="00BE5BAA" w:rsidP="00214D11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214D11">
        <w:rPr>
          <w:rFonts w:ascii="Times New Roman" w:hAnsi="Times New Roman" w:cs="Times New Roman"/>
          <w:bCs/>
          <w:i/>
          <w:iCs/>
        </w:rPr>
        <w:t>« </w:t>
      </w:r>
      <w:r w:rsidR="006714E5">
        <w:rPr>
          <w:rFonts w:ascii="Times New Roman" w:hAnsi="Times New Roman" w:cs="Times New Roman"/>
          <w:bCs/>
          <w:i/>
          <w:iCs/>
        </w:rPr>
        <w:t>Sel et condiments</w:t>
      </w:r>
      <w:r w:rsidRPr="00214D11">
        <w:rPr>
          <w:rFonts w:ascii="Times New Roman" w:hAnsi="Times New Roman" w:cs="Times New Roman"/>
          <w:bCs/>
          <w:i/>
          <w:iCs/>
        </w:rPr>
        <w:t> »</w:t>
      </w:r>
      <w:r w:rsidR="006714E5">
        <w:rPr>
          <w:rFonts w:ascii="Times New Roman" w:hAnsi="Times New Roman" w:cs="Times New Roman"/>
          <w:b/>
          <w:bCs/>
          <w:i/>
          <w:iCs/>
        </w:rPr>
        <w:t xml:space="preserve"> (-1,2</w:t>
      </w:r>
      <w:r w:rsidR="00214D11" w:rsidRPr="00214D11">
        <w:rPr>
          <w:rFonts w:ascii="Times New Roman" w:hAnsi="Times New Roman" w:cs="Times New Roman"/>
          <w:b/>
          <w:bCs/>
          <w:i/>
          <w:iCs/>
        </w:rPr>
        <w:t>%)</w:t>
      </w:r>
      <w:r w:rsidR="00214D11" w:rsidRPr="00214D11">
        <w:rPr>
          <w:rFonts w:ascii="Times New Roman" w:hAnsi="Times New Roman" w:cs="Times New Roman"/>
          <w:bCs/>
          <w:i/>
          <w:iCs/>
        </w:rPr>
        <w:t>,</w:t>
      </w:r>
      <w:r w:rsidRPr="00214D11">
        <w:rPr>
          <w:rFonts w:ascii="Times New Roman" w:hAnsi="Times New Roman" w:cs="Times New Roman"/>
          <w:bCs/>
          <w:i/>
          <w:iCs/>
        </w:rPr>
        <w:t xml:space="preserve"> en lien avec la disponibi</w:t>
      </w:r>
      <w:r w:rsidR="006714E5">
        <w:rPr>
          <w:rFonts w:ascii="Times New Roman" w:hAnsi="Times New Roman" w:cs="Times New Roman"/>
          <w:bCs/>
          <w:i/>
          <w:iCs/>
        </w:rPr>
        <w:t>lité du piment frais</w:t>
      </w:r>
      <w:r w:rsidR="00214D11" w:rsidRPr="00214D11">
        <w:rPr>
          <w:rFonts w:ascii="Times New Roman" w:hAnsi="Times New Roman" w:cs="Times New Roman"/>
          <w:bCs/>
          <w:i/>
          <w:iCs/>
        </w:rPr>
        <w:t>.</w:t>
      </w:r>
    </w:p>
    <w:p w14:paraId="72A09F3F" w14:textId="7A2A3110" w:rsidR="00D2566D" w:rsidRPr="00313846" w:rsidRDefault="00D2566D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>IHPC en glissement semestriel</w:t>
      </w:r>
    </w:p>
    <w:p w14:paraId="170A1E5D" w14:textId="56FDD9DB" w:rsidR="00494DF3" w:rsidRDefault="00D2566D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3E3D81">
        <w:rPr>
          <w:rFonts w:ascii="Times New Roman" w:hAnsi="Times New Roman" w:cs="Times New Roman"/>
          <w:bCs/>
          <w:i/>
          <w:iCs/>
        </w:rPr>
        <w:t xml:space="preserve">En comparaison à </w:t>
      </w:r>
      <w:r w:rsidR="00435070">
        <w:rPr>
          <w:rFonts w:ascii="Times New Roman" w:hAnsi="Times New Roman" w:cs="Times New Roman"/>
          <w:bCs/>
          <w:i/>
          <w:iCs/>
        </w:rPr>
        <w:t>juin</w:t>
      </w:r>
      <w:r w:rsidRPr="003E3D81">
        <w:rPr>
          <w:rFonts w:ascii="Times New Roman" w:hAnsi="Times New Roman" w:cs="Times New Roman"/>
          <w:bCs/>
          <w:i/>
          <w:iCs/>
        </w:rPr>
        <w:t xml:space="preserve"> 202</w:t>
      </w:r>
      <w:r w:rsidR="00023BA3" w:rsidRPr="003E3D81">
        <w:rPr>
          <w:rFonts w:ascii="Times New Roman" w:hAnsi="Times New Roman" w:cs="Times New Roman"/>
          <w:bCs/>
          <w:i/>
          <w:iCs/>
        </w:rPr>
        <w:t>2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, </w:t>
      </w:r>
      <w:r w:rsidRPr="003E3D81">
        <w:rPr>
          <w:rFonts w:ascii="Times New Roman" w:hAnsi="Times New Roman" w:cs="Times New Roman"/>
          <w:bCs/>
          <w:i/>
          <w:iCs/>
        </w:rPr>
        <w:t xml:space="preserve">les prix ont </w:t>
      </w:r>
      <w:r w:rsidR="0056664B" w:rsidRPr="003E3D81">
        <w:rPr>
          <w:rFonts w:ascii="Times New Roman" w:hAnsi="Times New Roman" w:cs="Times New Roman"/>
          <w:bCs/>
          <w:i/>
          <w:iCs/>
        </w:rPr>
        <w:t>augmenté</w:t>
      </w:r>
      <w:r w:rsidR="00BB1505" w:rsidRPr="003E3D81">
        <w:rPr>
          <w:rFonts w:ascii="Times New Roman" w:hAnsi="Times New Roman" w:cs="Times New Roman"/>
          <w:bCs/>
          <w:i/>
          <w:iCs/>
        </w:rPr>
        <w:t xml:space="preserve"> de</w:t>
      </w:r>
      <w:r w:rsidR="008D7434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435070">
        <w:rPr>
          <w:rFonts w:ascii="Times New Roman" w:hAnsi="Times New Roman" w:cs="Times New Roman"/>
          <w:b/>
          <w:bCs/>
          <w:i/>
          <w:iCs/>
        </w:rPr>
        <w:t>4,1</w:t>
      </w:r>
      <w:r w:rsidRPr="003E3D81">
        <w:rPr>
          <w:rFonts w:ascii="Times New Roman" w:hAnsi="Times New Roman" w:cs="Times New Roman"/>
          <w:b/>
          <w:bCs/>
          <w:i/>
          <w:iCs/>
        </w:rPr>
        <w:t>%</w:t>
      </w:r>
      <w:r w:rsidR="003E3D81" w:rsidRPr="003E3D81">
        <w:rPr>
          <w:rFonts w:ascii="Times New Roman" w:hAnsi="Times New Roman" w:cs="Times New Roman"/>
          <w:b/>
          <w:bCs/>
          <w:i/>
          <w:iCs/>
        </w:rPr>
        <w:t>,</w:t>
      </w:r>
      <w:r w:rsidR="006E04BF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A143D7" w:rsidRPr="003E3D81">
        <w:rPr>
          <w:rFonts w:ascii="Times New Roman" w:hAnsi="Times New Roman" w:cs="Times New Roman"/>
          <w:bCs/>
          <w:i/>
          <w:iCs/>
        </w:rPr>
        <w:t>tirés</w:t>
      </w:r>
      <w:r w:rsidR="00EF59A9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essentiellement </w:t>
      </w:r>
      <w:r w:rsidR="00EF59A9" w:rsidRPr="003E3D81">
        <w:rPr>
          <w:rFonts w:ascii="Times New Roman" w:hAnsi="Times New Roman" w:cs="Times New Roman"/>
          <w:bCs/>
          <w:i/>
          <w:iCs/>
        </w:rPr>
        <w:t>par l</w:t>
      </w:r>
      <w:r w:rsidR="000E31B9" w:rsidRPr="003E3D81">
        <w:rPr>
          <w:rFonts w:ascii="Times New Roman" w:hAnsi="Times New Roman" w:cs="Times New Roman"/>
          <w:bCs/>
          <w:i/>
          <w:iCs/>
        </w:rPr>
        <w:t>es</w:t>
      </w:r>
      <w:r w:rsidR="00D10241" w:rsidRPr="003E3D81">
        <w:rPr>
          <w:rFonts w:ascii="Times New Roman" w:hAnsi="Times New Roman" w:cs="Times New Roman"/>
          <w:bCs/>
          <w:i/>
          <w:iCs/>
        </w:rPr>
        <w:t xml:space="preserve"> fonction</w:t>
      </w:r>
      <w:r w:rsidR="000E31B9" w:rsidRPr="003E3D81">
        <w:rPr>
          <w:rFonts w:ascii="Times New Roman" w:hAnsi="Times New Roman" w:cs="Times New Roman"/>
          <w:bCs/>
          <w:i/>
          <w:iCs/>
        </w:rPr>
        <w:t>s</w:t>
      </w:r>
      <w:r w:rsidR="006E04BF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2E6D00" w:rsidRPr="003E3D81">
        <w:rPr>
          <w:rFonts w:ascii="Times New Roman" w:hAnsi="Times New Roman" w:cs="Times New Roman"/>
          <w:bCs/>
          <w:i/>
          <w:iCs/>
        </w:rPr>
        <w:t>« Produits alimentaires et boissons non alcoolisées »</w:t>
      </w:r>
      <w:r w:rsidR="00435070">
        <w:rPr>
          <w:rFonts w:ascii="Times New Roman" w:hAnsi="Times New Roman" w:cs="Times New Roman"/>
          <w:bCs/>
          <w:i/>
          <w:iCs/>
        </w:rPr>
        <w:t>, « transports »</w:t>
      </w:r>
      <w:r w:rsidR="003E3D81">
        <w:rPr>
          <w:rFonts w:ascii="Times New Roman" w:hAnsi="Times New Roman" w:cs="Times New Roman"/>
          <w:bCs/>
          <w:i/>
          <w:iCs/>
        </w:rPr>
        <w:t xml:space="preserve"> et</w:t>
      </w:r>
      <w:r w:rsidR="002E6D00" w:rsidRPr="003E3D81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6E04BF" w:rsidRPr="003E3D81">
        <w:rPr>
          <w:rFonts w:ascii="Times New Roman" w:hAnsi="Times New Roman" w:cs="Times New Roman"/>
          <w:bCs/>
          <w:i/>
          <w:iCs/>
        </w:rPr>
        <w:t>«</w:t>
      </w:r>
      <w:r w:rsidR="00592581" w:rsidRPr="003E3D81">
        <w:rPr>
          <w:rFonts w:ascii="Times New Roman" w:hAnsi="Times New Roman" w:cs="Times New Roman"/>
          <w:bCs/>
          <w:i/>
          <w:iCs/>
        </w:rPr>
        <w:t xml:space="preserve"> Logement, eau, gaz, électricité et autres combustibles </w:t>
      </w:r>
      <w:r w:rsidR="00B30D1B" w:rsidRPr="003E3D81">
        <w:rPr>
          <w:rFonts w:ascii="Times New Roman" w:hAnsi="Times New Roman" w:cs="Times New Roman"/>
          <w:bCs/>
          <w:i/>
          <w:iCs/>
        </w:rPr>
        <w:t>»</w:t>
      </w:r>
      <w:r w:rsidR="000E11C7">
        <w:rPr>
          <w:rFonts w:ascii="Times New Roman" w:hAnsi="Times New Roman" w:cs="Times New Roman"/>
          <w:bCs/>
          <w:i/>
          <w:iCs/>
        </w:rPr>
        <w:t>,</w:t>
      </w:r>
      <w:r w:rsidR="00B30D1B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3E3D81" w:rsidRPr="003E3D81">
        <w:rPr>
          <w:rFonts w:ascii="Times New Roman" w:hAnsi="Times New Roman" w:cs="Times New Roman"/>
          <w:bCs/>
          <w:i/>
          <w:iCs/>
        </w:rPr>
        <w:t xml:space="preserve">contribuant 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respectivement </w:t>
      </w:r>
      <w:r w:rsidR="003E3D81" w:rsidRPr="003E3D81">
        <w:rPr>
          <w:rFonts w:ascii="Times New Roman" w:hAnsi="Times New Roman" w:cs="Times New Roman"/>
          <w:bCs/>
          <w:i/>
          <w:iCs/>
        </w:rPr>
        <w:t>pour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</w:t>
      </w:r>
      <w:r w:rsidR="00A10052" w:rsidRPr="003E3D81">
        <w:rPr>
          <w:rFonts w:ascii="Times New Roman" w:hAnsi="Times New Roman" w:cs="Times New Roman"/>
          <w:bCs/>
          <w:i/>
          <w:iCs/>
        </w:rPr>
        <w:t>2</w:t>
      </w:r>
      <w:r w:rsidR="000E31B9" w:rsidRPr="003E3D81">
        <w:rPr>
          <w:rFonts w:ascii="Times New Roman" w:hAnsi="Times New Roman" w:cs="Times New Roman"/>
          <w:bCs/>
          <w:i/>
          <w:iCs/>
        </w:rPr>
        <w:t>,3</w:t>
      </w:r>
      <w:r w:rsidR="0086423E">
        <w:rPr>
          <w:rFonts w:ascii="Times New Roman" w:hAnsi="Times New Roman" w:cs="Times New Roman"/>
          <w:bCs/>
          <w:i/>
          <w:iCs/>
        </w:rPr>
        <w:t xml:space="preserve"> points</w:t>
      </w:r>
      <w:r w:rsidR="00435070">
        <w:rPr>
          <w:rFonts w:ascii="Times New Roman" w:hAnsi="Times New Roman" w:cs="Times New Roman"/>
          <w:bCs/>
          <w:i/>
          <w:iCs/>
        </w:rPr>
        <w:t xml:space="preserve">, </w:t>
      </w:r>
      <w:r w:rsidR="00A10052" w:rsidRPr="003E3D81">
        <w:rPr>
          <w:rFonts w:ascii="Times New Roman" w:hAnsi="Times New Roman" w:cs="Times New Roman"/>
          <w:bCs/>
          <w:i/>
          <w:iCs/>
        </w:rPr>
        <w:t>0,9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point</w:t>
      </w:r>
      <w:r w:rsidR="00435070">
        <w:rPr>
          <w:rFonts w:ascii="Times New Roman" w:hAnsi="Times New Roman" w:cs="Times New Roman"/>
          <w:bCs/>
          <w:i/>
          <w:iCs/>
        </w:rPr>
        <w:t xml:space="preserve"> et 0,8 point</w:t>
      </w:r>
      <w:r w:rsidR="002E6D00" w:rsidRPr="003E3D81">
        <w:rPr>
          <w:rFonts w:ascii="Times New Roman" w:hAnsi="Times New Roman" w:cs="Times New Roman"/>
          <w:bCs/>
          <w:i/>
          <w:iCs/>
        </w:rPr>
        <w:t xml:space="preserve"> de pourcentage</w:t>
      </w:r>
      <w:r w:rsidR="000E31B9" w:rsidRPr="003E3D81">
        <w:rPr>
          <w:rFonts w:ascii="Times New Roman" w:hAnsi="Times New Roman" w:cs="Times New Roman"/>
          <w:bCs/>
          <w:i/>
          <w:iCs/>
        </w:rPr>
        <w:t>.</w:t>
      </w:r>
    </w:p>
    <w:p w14:paraId="76DAC722" w14:textId="77777777" w:rsidR="003671B8" w:rsidRPr="00313846" w:rsidRDefault="003671B8" w:rsidP="00313846">
      <w:pPr>
        <w:tabs>
          <w:tab w:val="left" w:pos="3488"/>
        </w:tabs>
        <w:spacing w:line="312" w:lineRule="auto"/>
        <w:rPr>
          <w:rFonts w:ascii="Times New Roman" w:hAnsi="Times New Roman" w:cs="Times New Roman"/>
          <w:b/>
          <w:bCs/>
          <w:i/>
          <w:iCs/>
          <w:color w:val="0070C0"/>
        </w:rPr>
      </w:pPr>
      <w:r w:rsidRPr="00313846">
        <w:rPr>
          <w:rFonts w:ascii="Times New Roman" w:hAnsi="Times New Roman" w:cs="Times New Roman"/>
          <w:b/>
          <w:bCs/>
          <w:i/>
          <w:iCs/>
          <w:color w:val="0070C0"/>
        </w:rPr>
        <w:t xml:space="preserve">IHPC suivant la nature et l’origine du produit </w:t>
      </w:r>
    </w:p>
    <w:p w14:paraId="42166DAB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Par r</w:t>
      </w:r>
      <w:r w:rsidR="00955E41" w:rsidRPr="00480C1B">
        <w:rPr>
          <w:rFonts w:ascii="Times New Roman" w:hAnsi="Times New Roman" w:cs="Times New Roman"/>
          <w:bCs/>
          <w:i/>
          <w:iCs/>
        </w:rPr>
        <w:t xml:space="preserve">apport à la nature des produits </w:t>
      </w:r>
      <w:r w:rsidRPr="00480C1B">
        <w:rPr>
          <w:rFonts w:ascii="Times New Roman" w:hAnsi="Times New Roman" w:cs="Times New Roman"/>
          <w:bCs/>
          <w:i/>
          <w:iCs/>
        </w:rPr>
        <w:t>:</w:t>
      </w:r>
    </w:p>
    <w:p w14:paraId="717A1EF2" w14:textId="78E47CB9" w:rsidR="003671B8" w:rsidRPr="00480C1B" w:rsidRDefault="003671B8" w:rsidP="002E1050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en variation mensuelle, les prix des</w:t>
      </w:r>
      <w:r w:rsidR="00F95652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D95CCD">
        <w:rPr>
          <w:rFonts w:ascii="Times New Roman" w:hAnsi="Times New Roman" w:cs="Times New Roman"/>
          <w:bCs/>
          <w:i/>
          <w:iCs/>
        </w:rPr>
        <w:t xml:space="preserve"> </w:t>
      </w:r>
      <w:r w:rsidR="0028055D">
        <w:rPr>
          <w:rFonts w:ascii="Times New Roman" w:hAnsi="Times New Roman" w:cs="Times New Roman"/>
          <w:bCs/>
          <w:i/>
          <w:iCs/>
        </w:rPr>
        <w:t xml:space="preserve">et ceux 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énergétiques » </w:t>
      </w:r>
      <w:r w:rsidR="0028055D">
        <w:rPr>
          <w:rFonts w:ascii="Times New Roman" w:hAnsi="Times New Roman" w:cs="Times New Roman"/>
          <w:bCs/>
          <w:i/>
          <w:iCs/>
        </w:rPr>
        <w:t xml:space="preserve">sont en </w:t>
      </w:r>
      <w:r w:rsidR="00435070">
        <w:rPr>
          <w:rFonts w:ascii="Times New Roman" w:hAnsi="Times New Roman" w:cs="Times New Roman"/>
          <w:bCs/>
          <w:i/>
          <w:iCs/>
        </w:rPr>
        <w:t>baisse</w:t>
      </w:r>
      <w:r w:rsidR="0028055D">
        <w:rPr>
          <w:rFonts w:ascii="Times New Roman" w:hAnsi="Times New Roman" w:cs="Times New Roman"/>
          <w:bCs/>
          <w:i/>
          <w:iCs/>
        </w:rPr>
        <w:t xml:space="preserve"> respectivement </w:t>
      </w:r>
      <w:r w:rsidR="003F48F0">
        <w:rPr>
          <w:rFonts w:ascii="Times New Roman" w:hAnsi="Times New Roman" w:cs="Times New Roman"/>
          <w:bCs/>
          <w:i/>
          <w:iCs/>
        </w:rPr>
        <w:t xml:space="preserve">de </w:t>
      </w:r>
      <w:r w:rsidR="00435070">
        <w:rPr>
          <w:rFonts w:ascii="Times New Roman" w:hAnsi="Times New Roman" w:cs="Times New Roman"/>
          <w:b/>
          <w:bCs/>
          <w:i/>
          <w:iCs/>
        </w:rPr>
        <w:t>0,2</w:t>
      </w:r>
      <w:r w:rsidR="003F48F0" w:rsidRPr="003F48F0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8055D" w:rsidRPr="0028055D">
        <w:rPr>
          <w:rFonts w:ascii="Times New Roman" w:hAnsi="Times New Roman" w:cs="Times New Roman"/>
          <w:bCs/>
          <w:i/>
          <w:iCs/>
        </w:rPr>
        <w:t>et de</w:t>
      </w:r>
      <w:r w:rsidR="00435070">
        <w:rPr>
          <w:rFonts w:ascii="Times New Roman" w:hAnsi="Times New Roman" w:cs="Times New Roman"/>
          <w:b/>
          <w:bCs/>
          <w:i/>
          <w:iCs/>
        </w:rPr>
        <w:t xml:space="preserve"> 0,4</w:t>
      </w:r>
      <w:r w:rsidR="0028055D">
        <w:rPr>
          <w:rFonts w:ascii="Times New Roman" w:hAnsi="Times New Roman" w:cs="Times New Roman"/>
          <w:b/>
          <w:bCs/>
          <w:i/>
          <w:iCs/>
        </w:rPr>
        <w:t>%</w:t>
      </w:r>
      <w:r w:rsidR="0028055D">
        <w:rPr>
          <w:rFonts w:ascii="Times New Roman" w:hAnsi="Times New Roman" w:cs="Times New Roman"/>
          <w:bCs/>
          <w:i/>
          <w:iCs/>
        </w:rPr>
        <w:t>.</w:t>
      </w:r>
    </w:p>
    <w:p w14:paraId="549CE9A4" w14:textId="62FDB3AB" w:rsidR="00EF2A35" w:rsidRDefault="003671B8" w:rsidP="00EF2A35">
      <w:pPr>
        <w:pStyle w:val="Paragraphedeliste"/>
        <w:numPr>
          <w:ilvl w:val="0"/>
          <w:numId w:val="3"/>
        </w:numPr>
        <w:spacing w:line="312" w:lineRule="auto"/>
        <w:ind w:left="567" w:hanging="207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</w:t>
      </w:r>
      <w:r w:rsidR="002E1050">
        <w:rPr>
          <w:rFonts w:ascii="Times New Roman" w:hAnsi="Times New Roman" w:cs="Times New Roman"/>
          <w:bCs/>
          <w:i/>
          <w:iCs/>
        </w:rPr>
        <w:t xml:space="preserve">les prix </w:t>
      </w:r>
      <w:r w:rsidR="002E1050" w:rsidRPr="00480C1B">
        <w:rPr>
          <w:rFonts w:ascii="Times New Roman" w:hAnsi="Times New Roman" w:cs="Times New Roman"/>
          <w:bCs/>
          <w:i/>
          <w:iCs/>
        </w:rPr>
        <w:t xml:space="preserve">des « produits énergétiques » </w:t>
      </w:r>
      <w:r w:rsidR="00EF2A35">
        <w:rPr>
          <w:rFonts w:ascii="Times New Roman" w:hAnsi="Times New Roman" w:cs="Times New Roman"/>
          <w:bCs/>
          <w:i/>
          <w:iCs/>
        </w:rPr>
        <w:t>(+</w:t>
      </w:r>
      <w:r w:rsidR="00435070">
        <w:rPr>
          <w:rFonts w:ascii="Times New Roman" w:hAnsi="Times New Roman" w:cs="Times New Roman"/>
          <w:b/>
          <w:bCs/>
          <w:i/>
          <w:iCs/>
        </w:rPr>
        <w:t>16,7</w:t>
      </w:r>
      <w:r w:rsidR="00EF2A35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contre +</w:t>
      </w:r>
      <w:r w:rsidR="00EF2A35" w:rsidRPr="00E50883">
        <w:rPr>
          <w:rFonts w:ascii="Times New Roman" w:hAnsi="Times New Roman" w:cs="Times New Roman"/>
          <w:b/>
          <w:i/>
          <w:iCs/>
        </w:rPr>
        <w:t>1</w:t>
      </w:r>
      <w:r w:rsidR="00435070">
        <w:rPr>
          <w:rFonts w:ascii="Times New Roman" w:hAnsi="Times New Roman" w:cs="Times New Roman"/>
          <w:b/>
          <w:i/>
          <w:iCs/>
        </w:rPr>
        <w:t>5</w:t>
      </w:r>
      <w:r w:rsidR="00EF2A35" w:rsidRPr="00E50883">
        <w:rPr>
          <w:rFonts w:ascii="Times New Roman" w:hAnsi="Times New Roman" w:cs="Times New Roman"/>
          <w:b/>
          <w:i/>
          <w:iCs/>
        </w:rPr>
        <w:t>,</w:t>
      </w:r>
      <w:r w:rsidR="00435070">
        <w:rPr>
          <w:rFonts w:ascii="Times New Roman" w:hAnsi="Times New Roman" w:cs="Times New Roman"/>
          <w:b/>
          <w:i/>
          <w:iCs/>
        </w:rPr>
        <w:t>2</w:t>
      </w:r>
      <w:r w:rsidR="00EF2A35" w:rsidRPr="00E50883">
        <w:rPr>
          <w:rFonts w:ascii="Times New Roman" w:hAnsi="Times New Roman" w:cs="Times New Roman"/>
          <w:b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 xml:space="preserve"> le mois précédent), </w:t>
      </w:r>
      <w:r w:rsidR="00EF2A35" w:rsidRPr="00480C1B">
        <w:rPr>
          <w:rFonts w:ascii="Times New Roman" w:hAnsi="Times New Roman" w:cs="Times New Roman"/>
          <w:bCs/>
          <w:i/>
          <w:iCs/>
        </w:rPr>
        <w:t>ont cr</w:t>
      </w:r>
      <w:r w:rsidR="00EF2A35">
        <w:rPr>
          <w:rFonts w:ascii="Times New Roman" w:hAnsi="Times New Roman" w:cs="Times New Roman"/>
          <w:bCs/>
          <w:i/>
          <w:iCs/>
        </w:rPr>
        <w:t>û</w:t>
      </w:r>
      <w:r w:rsidR="00EF2A3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435070">
        <w:rPr>
          <w:rFonts w:ascii="Times New Roman" w:hAnsi="Times New Roman" w:cs="Times New Roman"/>
          <w:bCs/>
          <w:i/>
          <w:iCs/>
        </w:rPr>
        <w:t>alors que</w:t>
      </w:r>
      <w:r w:rsidR="003B69F2">
        <w:rPr>
          <w:rFonts w:ascii="Times New Roman" w:hAnsi="Times New Roman" w:cs="Times New Roman"/>
          <w:bCs/>
          <w:i/>
          <w:iCs/>
        </w:rPr>
        <w:t>,</w:t>
      </w:r>
      <w:r w:rsidR="00435070">
        <w:rPr>
          <w:rFonts w:ascii="Times New Roman" w:hAnsi="Times New Roman" w:cs="Times New Roman"/>
          <w:bCs/>
          <w:i/>
          <w:iCs/>
        </w:rPr>
        <w:t xml:space="preserve"> ceux d</w:t>
      </w:r>
      <w:r w:rsidR="00EF2A35">
        <w:rPr>
          <w:rFonts w:ascii="Times New Roman" w:hAnsi="Times New Roman" w:cs="Times New Roman"/>
          <w:bCs/>
          <w:i/>
          <w:iCs/>
        </w:rPr>
        <w:t>es</w:t>
      </w:r>
      <w:r w:rsidR="00EF2A35" w:rsidRPr="00480C1B">
        <w:rPr>
          <w:rFonts w:ascii="Times New Roman" w:hAnsi="Times New Roman" w:cs="Times New Roman"/>
          <w:bCs/>
          <w:i/>
          <w:iCs/>
        </w:rPr>
        <w:t xml:space="preserve"> « produits frais »</w:t>
      </w:r>
      <w:r w:rsidR="00435070">
        <w:rPr>
          <w:rFonts w:ascii="Times New Roman" w:hAnsi="Times New Roman" w:cs="Times New Roman"/>
          <w:bCs/>
          <w:i/>
          <w:iCs/>
        </w:rPr>
        <w:t xml:space="preserve"> ont baissé de </w:t>
      </w:r>
      <w:r w:rsidR="00435070" w:rsidRPr="00435070">
        <w:rPr>
          <w:rFonts w:ascii="Times New Roman" w:hAnsi="Times New Roman" w:cs="Times New Roman"/>
          <w:b/>
          <w:bCs/>
          <w:i/>
          <w:iCs/>
        </w:rPr>
        <w:t>2,7%</w:t>
      </w:r>
      <w:r w:rsidR="00EF2A35">
        <w:rPr>
          <w:rFonts w:ascii="Times New Roman" w:hAnsi="Times New Roman" w:cs="Times New Roman"/>
          <w:bCs/>
          <w:i/>
          <w:iCs/>
        </w:rPr>
        <w:t> ;</w:t>
      </w:r>
    </w:p>
    <w:p w14:paraId="4D75124D" w14:textId="77777777" w:rsidR="003671B8" w:rsidRPr="00480C1B" w:rsidRDefault="003671B8" w:rsidP="003671B8">
      <w:pPr>
        <w:spacing w:line="312" w:lineRule="auto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lastRenderedPageBreak/>
        <w:t>Sur la base de l’origine des produits :</w:t>
      </w:r>
    </w:p>
    <w:p w14:paraId="1F4BE5F2" w14:textId="39E295F1" w:rsidR="00A707E8" w:rsidRPr="00480C1B" w:rsidRDefault="003671B8" w:rsidP="00C11150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variation mensuelle, </w:t>
      </w:r>
      <w:r w:rsidR="00F86752">
        <w:rPr>
          <w:rFonts w:ascii="Times New Roman" w:hAnsi="Times New Roman" w:cs="Times New Roman"/>
          <w:bCs/>
          <w:i/>
          <w:iCs/>
        </w:rPr>
        <w:t>l</w:t>
      </w:r>
      <w:r w:rsidR="00496A3C" w:rsidRPr="00480C1B">
        <w:rPr>
          <w:rFonts w:ascii="Times New Roman" w:hAnsi="Times New Roman" w:cs="Times New Roman"/>
          <w:bCs/>
          <w:i/>
          <w:iCs/>
        </w:rPr>
        <w:t xml:space="preserve">es </w:t>
      </w:r>
      <w:r w:rsidR="00F86752">
        <w:rPr>
          <w:rFonts w:ascii="Times New Roman" w:hAnsi="Times New Roman" w:cs="Times New Roman"/>
          <w:bCs/>
          <w:i/>
          <w:iCs/>
        </w:rPr>
        <w:t xml:space="preserve">prix des 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« produits </w:t>
      </w:r>
      <w:r w:rsidR="00035009" w:rsidRPr="00480C1B">
        <w:rPr>
          <w:rFonts w:ascii="Times New Roman" w:hAnsi="Times New Roman" w:cs="Times New Roman"/>
          <w:bCs/>
          <w:i/>
          <w:iCs/>
        </w:rPr>
        <w:t>importés</w:t>
      </w:r>
      <w:r w:rsidR="00A3572F" w:rsidRPr="00480C1B">
        <w:rPr>
          <w:rFonts w:ascii="Times New Roman" w:hAnsi="Times New Roman" w:cs="Times New Roman"/>
          <w:bCs/>
          <w:i/>
          <w:iCs/>
        </w:rPr>
        <w:t xml:space="preserve"> »</w:t>
      </w:r>
      <w:r w:rsidR="00A33E47">
        <w:t xml:space="preserve"> 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ont augmenté de </w:t>
      </w:r>
      <w:r w:rsidR="00435070" w:rsidRPr="00435070">
        <w:rPr>
          <w:rFonts w:ascii="Times New Roman" w:hAnsi="Times New Roman" w:cs="Times New Roman"/>
          <w:b/>
          <w:bCs/>
          <w:i/>
          <w:iCs/>
        </w:rPr>
        <w:t>0,4%</w:t>
      </w:r>
      <w:r w:rsidR="00435070" w:rsidRPr="00435070">
        <w:rPr>
          <w:rFonts w:ascii="Times New Roman" w:hAnsi="Times New Roman" w:cs="Times New Roman"/>
          <w:bCs/>
          <w:i/>
          <w:iCs/>
        </w:rPr>
        <w:t xml:space="preserve"> tandis que </w:t>
      </w:r>
      <w:r w:rsidR="0028055D" w:rsidRPr="0028055D">
        <w:rPr>
          <w:rFonts w:ascii="Times New Roman" w:hAnsi="Times New Roman" w:cs="Times New Roman"/>
          <w:bCs/>
          <w:i/>
          <w:iCs/>
        </w:rPr>
        <w:t xml:space="preserve">ceux </w:t>
      </w:r>
      <w:r w:rsidR="0028055D">
        <w:rPr>
          <w:rFonts w:ascii="Times New Roman" w:hAnsi="Times New Roman" w:cs="Times New Roman"/>
          <w:bCs/>
          <w:i/>
          <w:iCs/>
        </w:rPr>
        <w:t xml:space="preserve">des </w:t>
      </w:r>
      <w:r w:rsidR="0028055D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sont en </w:t>
      </w:r>
      <w:r w:rsidR="00435070">
        <w:rPr>
          <w:rFonts w:ascii="Times New Roman" w:hAnsi="Times New Roman" w:cs="Times New Roman"/>
          <w:bCs/>
          <w:i/>
          <w:iCs/>
        </w:rPr>
        <w:t>baisse</w:t>
      </w:r>
      <w:r w:rsidR="00A33E47" w:rsidRPr="00A33E47">
        <w:rPr>
          <w:rFonts w:ascii="Times New Roman" w:hAnsi="Times New Roman" w:cs="Times New Roman"/>
          <w:bCs/>
          <w:i/>
          <w:iCs/>
        </w:rPr>
        <w:t xml:space="preserve"> </w:t>
      </w:r>
      <w:r w:rsidR="00435070">
        <w:rPr>
          <w:rFonts w:ascii="Times New Roman" w:hAnsi="Times New Roman" w:cs="Times New Roman"/>
          <w:bCs/>
          <w:i/>
          <w:iCs/>
        </w:rPr>
        <w:t xml:space="preserve">de </w:t>
      </w:r>
      <w:r w:rsidR="00435070">
        <w:rPr>
          <w:rFonts w:ascii="Times New Roman" w:hAnsi="Times New Roman" w:cs="Times New Roman"/>
          <w:b/>
          <w:bCs/>
          <w:i/>
          <w:iCs/>
        </w:rPr>
        <w:t>0,1</w:t>
      </w:r>
      <w:r w:rsidR="00651AEE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4223CD">
        <w:rPr>
          <w:rFonts w:ascii="Times New Roman" w:hAnsi="Times New Roman" w:cs="Times New Roman"/>
          <w:bCs/>
          <w:i/>
          <w:iCs/>
        </w:rPr>
        <w:t xml:space="preserve"> </w:t>
      </w:r>
      <w:r w:rsidR="00035009" w:rsidRPr="00480C1B">
        <w:rPr>
          <w:rFonts w:ascii="Times New Roman" w:hAnsi="Times New Roman" w:cs="Times New Roman"/>
          <w:bCs/>
          <w:i/>
          <w:iCs/>
        </w:rPr>
        <w:t>;</w:t>
      </w:r>
      <w:r w:rsidR="00A707E8" w:rsidRPr="00480C1B">
        <w:rPr>
          <w:rFonts w:ascii="Times New Roman" w:hAnsi="Times New Roman" w:cs="Times New Roman"/>
          <w:bCs/>
          <w:i/>
          <w:iCs/>
        </w:rPr>
        <w:t xml:space="preserve"> </w:t>
      </w:r>
    </w:p>
    <w:p w14:paraId="3DC143D0" w14:textId="449F0AD4" w:rsidR="00BB2AA6" w:rsidRPr="00D10241" w:rsidRDefault="003671B8" w:rsidP="00D10241">
      <w:pPr>
        <w:pStyle w:val="Paragraphedeliste"/>
        <w:numPr>
          <w:ilvl w:val="0"/>
          <w:numId w:val="5"/>
        </w:numPr>
        <w:spacing w:line="312" w:lineRule="auto"/>
        <w:contextualSpacing w:val="0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glissement annuel, les prix des </w:t>
      </w:r>
      <w:r w:rsidR="00955E41" w:rsidRPr="00480C1B">
        <w:rPr>
          <w:rFonts w:ascii="Times New Roman" w:hAnsi="Times New Roman" w:cs="Times New Roman"/>
          <w:bCs/>
          <w:i/>
          <w:iCs/>
        </w:rPr>
        <w:t>« produits importés »</w:t>
      </w:r>
      <w:r w:rsidR="00C77953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B69F2">
        <w:rPr>
          <w:rFonts w:ascii="Times New Roman" w:hAnsi="Times New Roman" w:cs="Times New Roman"/>
          <w:bCs/>
          <w:i/>
          <w:iCs/>
        </w:rPr>
        <w:t xml:space="preserve">sont en hausse de </w:t>
      </w:r>
      <w:r w:rsidR="003B69F2" w:rsidRPr="000E11C7">
        <w:rPr>
          <w:rFonts w:ascii="Times New Roman" w:hAnsi="Times New Roman" w:cs="Times New Roman"/>
          <w:b/>
          <w:i/>
          <w:iCs/>
        </w:rPr>
        <w:t>10,0%</w:t>
      </w:r>
      <w:r w:rsidR="003B69F2">
        <w:rPr>
          <w:rFonts w:ascii="Times New Roman" w:hAnsi="Times New Roman" w:cs="Times New Roman"/>
          <w:bCs/>
          <w:i/>
          <w:iCs/>
        </w:rPr>
        <w:t xml:space="preserve"> tandis que, </w:t>
      </w:r>
      <w:r w:rsidR="00680CE3" w:rsidRPr="0028055D">
        <w:rPr>
          <w:rFonts w:ascii="Times New Roman" w:hAnsi="Times New Roman" w:cs="Times New Roman"/>
          <w:bCs/>
          <w:i/>
          <w:iCs/>
        </w:rPr>
        <w:t xml:space="preserve">ceux </w:t>
      </w:r>
      <w:r w:rsidR="00680CE3">
        <w:rPr>
          <w:rFonts w:ascii="Times New Roman" w:hAnsi="Times New Roman" w:cs="Times New Roman"/>
          <w:bCs/>
          <w:i/>
          <w:iCs/>
        </w:rPr>
        <w:t xml:space="preserve">des </w:t>
      </w:r>
      <w:r w:rsidR="00680CE3" w:rsidRPr="00480C1B">
        <w:rPr>
          <w:rFonts w:ascii="Times New Roman" w:hAnsi="Times New Roman" w:cs="Times New Roman"/>
          <w:bCs/>
          <w:i/>
          <w:iCs/>
        </w:rPr>
        <w:t xml:space="preserve">« produits locaux » </w:t>
      </w:r>
      <w:r w:rsidR="00680CE3">
        <w:rPr>
          <w:rFonts w:ascii="Times New Roman" w:hAnsi="Times New Roman" w:cs="Times New Roman"/>
          <w:bCs/>
          <w:i/>
          <w:iCs/>
        </w:rPr>
        <w:t xml:space="preserve">ont </w:t>
      </w:r>
      <w:r w:rsidR="003B69F2">
        <w:rPr>
          <w:rFonts w:ascii="Times New Roman" w:hAnsi="Times New Roman" w:cs="Times New Roman"/>
          <w:bCs/>
          <w:i/>
          <w:iCs/>
        </w:rPr>
        <w:t xml:space="preserve">diminué </w:t>
      </w:r>
      <w:r w:rsidR="00680CE3">
        <w:rPr>
          <w:rFonts w:ascii="Times New Roman" w:hAnsi="Times New Roman" w:cs="Times New Roman"/>
          <w:bCs/>
          <w:i/>
          <w:iCs/>
        </w:rPr>
        <w:t xml:space="preserve">de </w:t>
      </w:r>
      <w:r w:rsidR="003B69F2">
        <w:rPr>
          <w:rFonts w:ascii="Times New Roman" w:hAnsi="Times New Roman" w:cs="Times New Roman"/>
          <w:b/>
          <w:bCs/>
          <w:i/>
          <w:iCs/>
        </w:rPr>
        <w:t>0,4</w:t>
      </w:r>
      <w:r w:rsidR="00680CE3" w:rsidRPr="00651AEE">
        <w:rPr>
          <w:rFonts w:ascii="Times New Roman" w:hAnsi="Times New Roman" w:cs="Times New Roman"/>
          <w:b/>
          <w:bCs/>
          <w:i/>
          <w:iCs/>
        </w:rPr>
        <w:t>%</w:t>
      </w:r>
      <w:r w:rsidR="00EF2A35">
        <w:rPr>
          <w:rFonts w:ascii="Times New Roman" w:hAnsi="Times New Roman" w:cs="Times New Roman"/>
          <w:bCs/>
          <w:i/>
          <w:iCs/>
        </w:rPr>
        <w:t>.</w:t>
      </w:r>
    </w:p>
    <w:p w14:paraId="3A5366AB" w14:textId="77777777" w:rsidR="00EB3E47" w:rsidRPr="00313846" w:rsidRDefault="00EB3E47" w:rsidP="00EB3E47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Inflation sous-jacente</w:t>
      </w:r>
    </w:p>
    <w:p w14:paraId="5936A803" w14:textId="77777777" w:rsidR="00E0155A" w:rsidRDefault="00EB3E47" w:rsidP="00EB3E47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L’indice sous-jacent est l’indice de l’évolution du niveau général des prix obtenu en dehors des phénomènes perturbateurs </w:t>
      </w:r>
      <w:r w:rsidR="00E0155A">
        <w:rPr>
          <w:rFonts w:ascii="Times New Roman" w:hAnsi="Times New Roman" w:cs="Times New Roman"/>
          <w:bCs/>
          <w:i/>
          <w:iCs/>
        </w:rPr>
        <w:t>liés aux</w:t>
      </w:r>
      <w:r w:rsidRPr="00480C1B">
        <w:rPr>
          <w:rFonts w:ascii="Times New Roman" w:hAnsi="Times New Roman" w:cs="Times New Roman"/>
          <w:bCs/>
          <w:i/>
          <w:iCs/>
        </w:rPr>
        <w:t xml:space="preserve"> produits saisonniers et énergétiques</w:t>
      </w:r>
      <w:r w:rsidR="00E0155A">
        <w:rPr>
          <w:rFonts w:ascii="Times New Roman" w:hAnsi="Times New Roman" w:cs="Times New Roman"/>
          <w:bCs/>
          <w:i/>
          <w:iCs/>
        </w:rPr>
        <w:t xml:space="preserve">. Ainsi, l’inflation sous-jacente est obtenue </w:t>
      </w:r>
      <w:proofErr w:type="spellStart"/>
      <w:r w:rsidR="00E0155A">
        <w:rPr>
          <w:rFonts w:ascii="Times New Roman" w:hAnsi="Times New Roman" w:cs="Times New Roman"/>
          <w:bCs/>
          <w:i/>
          <w:iCs/>
        </w:rPr>
        <w:t>a</w:t>
      </w:r>
      <w:proofErr w:type="spellEnd"/>
      <w:r w:rsidR="00E0155A">
        <w:rPr>
          <w:rFonts w:ascii="Times New Roman" w:hAnsi="Times New Roman" w:cs="Times New Roman"/>
          <w:bCs/>
          <w:i/>
          <w:iCs/>
        </w:rPr>
        <w:t xml:space="preserve"> partir de l’i</w:t>
      </w:r>
      <w:r w:rsidRPr="00480C1B">
        <w:rPr>
          <w:rFonts w:ascii="Times New Roman" w:hAnsi="Times New Roman" w:cs="Times New Roman"/>
          <w:bCs/>
          <w:i/>
          <w:iCs/>
        </w:rPr>
        <w:t>ndice</w:t>
      </w:r>
      <w:r w:rsidR="00E0155A">
        <w:rPr>
          <w:rFonts w:ascii="Times New Roman" w:hAnsi="Times New Roman" w:cs="Times New Roman"/>
          <w:bCs/>
          <w:i/>
          <w:iCs/>
        </w:rPr>
        <w:t xml:space="preserve"> des prix </w:t>
      </w:r>
      <w:r w:rsidRPr="00480C1B">
        <w:rPr>
          <w:rFonts w:ascii="Times New Roman" w:hAnsi="Times New Roman" w:cs="Times New Roman"/>
          <w:bCs/>
          <w:i/>
          <w:iCs/>
        </w:rPr>
        <w:t xml:space="preserve">hors énergie et produits frais. </w:t>
      </w:r>
    </w:p>
    <w:p w14:paraId="2C967B60" w14:textId="6926AB92" w:rsidR="00EB3E47" w:rsidRPr="00480C1B" w:rsidRDefault="00A707E8" w:rsidP="00EB3E47">
      <w:pPr>
        <w:spacing w:line="312" w:lineRule="auto"/>
        <w:ind w:left="-142"/>
        <w:jc w:val="both"/>
        <w:rPr>
          <w:rFonts w:ascii="Times New Roman" w:hAnsi="Times New Roman" w:cs="Times New Roman"/>
          <w:b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 xml:space="preserve">En </w:t>
      </w:r>
      <w:r w:rsidR="005C0071">
        <w:rPr>
          <w:rFonts w:ascii="Times New Roman" w:hAnsi="Times New Roman" w:cs="Times New Roman"/>
          <w:bCs/>
          <w:i/>
          <w:iCs/>
        </w:rPr>
        <w:t>décembre</w:t>
      </w:r>
      <w:r w:rsidR="0020465D">
        <w:rPr>
          <w:rFonts w:ascii="Times New Roman" w:hAnsi="Times New Roman" w:cs="Times New Roman"/>
          <w:bCs/>
          <w:i/>
          <w:iCs/>
        </w:rPr>
        <w:t xml:space="preserve"> </w:t>
      </w:r>
      <w:r w:rsidRPr="00480C1B">
        <w:rPr>
          <w:rFonts w:ascii="Times New Roman" w:hAnsi="Times New Roman" w:cs="Times New Roman"/>
          <w:bCs/>
          <w:i/>
          <w:iCs/>
        </w:rPr>
        <w:t xml:space="preserve">2022, </w:t>
      </w:r>
      <w:r w:rsidR="00E0155A" w:rsidRPr="00E0155A">
        <w:rPr>
          <w:rFonts w:ascii="Times New Roman" w:hAnsi="Times New Roman" w:cs="Times New Roman"/>
          <w:bCs/>
          <w:i/>
          <w:iCs/>
        </w:rPr>
        <w:t xml:space="preserve">l’indice des prix hors énergie et produits frais </w:t>
      </w:r>
      <w:r w:rsidR="00D25BBF" w:rsidRPr="00480C1B">
        <w:rPr>
          <w:rFonts w:ascii="Times New Roman" w:hAnsi="Times New Roman" w:cs="Times New Roman"/>
          <w:bCs/>
          <w:i/>
          <w:iCs/>
        </w:rPr>
        <w:t>s’</w:t>
      </w:r>
      <w:r w:rsidR="00E0155A">
        <w:rPr>
          <w:rFonts w:ascii="Times New Roman" w:hAnsi="Times New Roman" w:cs="Times New Roman"/>
          <w:bCs/>
          <w:i/>
          <w:iCs/>
        </w:rPr>
        <w:t xml:space="preserve">est </w:t>
      </w:r>
      <w:r w:rsidR="00D25BBF" w:rsidRPr="00480C1B">
        <w:rPr>
          <w:rFonts w:ascii="Times New Roman" w:hAnsi="Times New Roman" w:cs="Times New Roman"/>
          <w:bCs/>
          <w:i/>
          <w:iCs/>
        </w:rPr>
        <w:t>établi à</w:t>
      </w:r>
      <w:r w:rsidR="00CE598C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3B69F2">
        <w:rPr>
          <w:rFonts w:ascii="Times New Roman" w:hAnsi="Times New Roman" w:cs="Times New Roman"/>
          <w:b/>
          <w:bCs/>
          <w:i/>
          <w:iCs/>
        </w:rPr>
        <w:t>110,9</w:t>
      </w:r>
      <w:r w:rsidR="00D25BBF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 xml:space="preserve">contre </w:t>
      </w:r>
      <w:r w:rsidR="003B69F2">
        <w:rPr>
          <w:rFonts w:ascii="Times New Roman" w:hAnsi="Times New Roman" w:cs="Times New Roman"/>
          <w:b/>
          <w:bCs/>
          <w:i/>
          <w:iCs/>
        </w:rPr>
        <w:t>110,7</w:t>
      </w:r>
      <w:r w:rsidR="00160525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A01A8E" w:rsidRPr="00480C1B">
        <w:rPr>
          <w:rFonts w:ascii="Times New Roman" w:hAnsi="Times New Roman" w:cs="Times New Roman"/>
          <w:bCs/>
          <w:i/>
          <w:iCs/>
        </w:rPr>
        <w:t>le mois précédent</w:t>
      </w:r>
      <w:r w:rsidR="00EB3E47" w:rsidRPr="00480C1B">
        <w:rPr>
          <w:rFonts w:ascii="Times New Roman" w:hAnsi="Times New Roman" w:cs="Times New Roman"/>
          <w:bCs/>
          <w:i/>
          <w:iCs/>
        </w:rPr>
        <w:t xml:space="preserve">. En comparaison au même mois de l’année dernière, il </w:t>
      </w:r>
      <w:r w:rsidR="00F27898">
        <w:rPr>
          <w:rFonts w:ascii="Times New Roman" w:hAnsi="Times New Roman" w:cs="Times New Roman"/>
          <w:bCs/>
          <w:i/>
          <w:iCs/>
        </w:rPr>
        <w:t xml:space="preserve">est en hausse </w:t>
      </w:r>
      <w:r w:rsidR="00C24CB3">
        <w:rPr>
          <w:rFonts w:ascii="Times New Roman" w:hAnsi="Times New Roman" w:cs="Times New Roman"/>
          <w:bCs/>
          <w:i/>
          <w:iCs/>
        </w:rPr>
        <w:t xml:space="preserve">de </w:t>
      </w:r>
      <w:r w:rsidR="003B69F2">
        <w:rPr>
          <w:rFonts w:ascii="Times New Roman" w:hAnsi="Times New Roman" w:cs="Times New Roman"/>
          <w:b/>
          <w:bCs/>
          <w:i/>
          <w:iCs/>
        </w:rPr>
        <w:t>2,9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>%</w:t>
      </w:r>
      <w:r w:rsidR="00004991" w:rsidRPr="00480C1B">
        <w:rPr>
          <w:rFonts w:ascii="Times New Roman" w:hAnsi="Times New Roman" w:cs="Times New Roman"/>
          <w:bCs/>
          <w:i/>
          <w:iCs/>
        </w:rPr>
        <w:t>,</w:t>
      </w:r>
      <w:r w:rsidR="00EB3E47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EB3E47" w:rsidRPr="00480C1B">
        <w:rPr>
          <w:rFonts w:ascii="Times New Roman" w:hAnsi="Times New Roman" w:cs="Times New Roman"/>
          <w:bCs/>
          <w:i/>
          <w:iCs/>
        </w:rPr>
        <w:t>contre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3B69F2">
        <w:rPr>
          <w:rFonts w:ascii="Times New Roman" w:hAnsi="Times New Roman" w:cs="Times New Roman"/>
          <w:b/>
          <w:bCs/>
          <w:i/>
          <w:iCs/>
        </w:rPr>
        <w:t>3,1</w:t>
      </w:r>
      <w:r w:rsidR="00344C55" w:rsidRPr="00480C1B">
        <w:rPr>
          <w:rFonts w:ascii="Times New Roman" w:hAnsi="Times New Roman" w:cs="Times New Roman"/>
          <w:b/>
          <w:bCs/>
          <w:i/>
          <w:iCs/>
        </w:rPr>
        <w:t xml:space="preserve">% </w:t>
      </w:r>
      <w:r w:rsidRPr="00480C1B">
        <w:rPr>
          <w:rFonts w:ascii="Times New Roman" w:hAnsi="Times New Roman" w:cs="Times New Roman"/>
          <w:bCs/>
          <w:i/>
          <w:iCs/>
        </w:rPr>
        <w:t>un mois plus tôt</w:t>
      </w:r>
      <w:r w:rsidR="00EB3E47" w:rsidRPr="00480C1B">
        <w:rPr>
          <w:rFonts w:ascii="Times New Roman" w:hAnsi="Times New Roman" w:cs="Times New Roman"/>
          <w:bCs/>
          <w:i/>
          <w:iCs/>
        </w:rPr>
        <w:t>.</w:t>
      </w:r>
    </w:p>
    <w:p w14:paraId="5ABA6D64" w14:textId="77777777" w:rsidR="003671B8" w:rsidRPr="00313846" w:rsidRDefault="003671B8" w:rsidP="00D3649F">
      <w:pPr>
        <w:pStyle w:val="Titre5"/>
        <w:spacing w:before="60" w:line="312" w:lineRule="auto"/>
        <w:ind w:left="-142"/>
        <w:rPr>
          <w:rFonts w:ascii="Times New Roman" w:hAnsi="Times New Roman" w:cs="Times New Roman"/>
          <w:b/>
          <w:color w:val="0070C0"/>
        </w:rPr>
      </w:pPr>
      <w:r w:rsidRPr="00313846">
        <w:rPr>
          <w:rFonts w:ascii="Times New Roman" w:hAnsi="Times New Roman" w:cs="Times New Roman"/>
          <w:b/>
          <w:color w:val="0070C0"/>
        </w:rPr>
        <w:t>Taux d’inflation suivant le critère de convergence dans l’espace UEMOA</w:t>
      </w:r>
      <w:r w:rsidRPr="00313846">
        <w:rPr>
          <w:rStyle w:val="Appelnotedebasdep"/>
          <w:rFonts w:ascii="Times New Roman" w:hAnsi="Times New Roman" w:cs="Times New Roman"/>
          <w:b/>
          <w:color w:val="0070C0"/>
        </w:rPr>
        <w:footnoteReference w:id="1"/>
      </w:r>
    </w:p>
    <w:p w14:paraId="3D037157" w14:textId="57B16CC9" w:rsidR="00E731F6" w:rsidRPr="00480C1B" w:rsidRDefault="00E731F6" w:rsidP="00E731F6">
      <w:pPr>
        <w:spacing w:line="312" w:lineRule="auto"/>
        <w:ind w:left="-142"/>
        <w:jc w:val="both"/>
        <w:rPr>
          <w:rFonts w:ascii="Times New Roman" w:hAnsi="Times New Roman" w:cs="Times New Roman"/>
          <w:bCs/>
          <w:i/>
          <w:iCs/>
        </w:rPr>
      </w:pPr>
      <w:r w:rsidRPr="00480C1B">
        <w:rPr>
          <w:rFonts w:ascii="Times New Roman" w:hAnsi="Times New Roman" w:cs="Times New Roman"/>
          <w:bCs/>
          <w:i/>
          <w:iCs/>
        </w:rPr>
        <w:t>Le taux d’inflation au niveau nat</w:t>
      </w:r>
      <w:r w:rsidR="00C0481C" w:rsidRPr="00480C1B">
        <w:rPr>
          <w:rFonts w:ascii="Times New Roman" w:hAnsi="Times New Roman" w:cs="Times New Roman"/>
          <w:bCs/>
          <w:i/>
          <w:iCs/>
        </w:rPr>
        <w:t xml:space="preserve">ional au titre du mois </w:t>
      </w:r>
      <w:r w:rsidR="00E846E6">
        <w:rPr>
          <w:rFonts w:ascii="Times New Roman" w:hAnsi="Times New Roman" w:cs="Times New Roman"/>
          <w:bCs/>
          <w:i/>
          <w:iCs/>
        </w:rPr>
        <w:t xml:space="preserve">de </w:t>
      </w:r>
      <w:r w:rsidR="005C0071">
        <w:rPr>
          <w:rFonts w:ascii="Times New Roman" w:hAnsi="Times New Roman" w:cs="Times New Roman"/>
          <w:bCs/>
          <w:i/>
          <w:iCs/>
        </w:rPr>
        <w:t>décembre</w:t>
      </w:r>
      <w:r w:rsidR="00C75105">
        <w:rPr>
          <w:rFonts w:ascii="Times New Roman" w:hAnsi="Times New Roman" w:cs="Times New Roman"/>
          <w:bCs/>
          <w:i/>
          <w:iCs/>
        </w:rPr>
        <w:t xml:space="preserve"> </w:t>
      </w:r>
      <w:r w:rsidR="00BF3331" w:rsidRPr="00480C1B">
        <w:rPr>
          <w:rFonts w:ascii="Times New Roman" w:hAnsi="Times New Roman" w:cs="Times New Roman"/>
          <w:bCs/>
          <w:i/>
          <w:iCs/>
        </w:rPr>
        <w:t>2022</w:t>
      </w:r>
      <w:r w:rsidR="00981666" w:rsidRPr="00480C1B">
        <w:rPr>
          <w:rFonts w:ascii="Times New Roman" w:hAnsi="Times New Roman" w:cs="Times New Roman"/>
          <w:bCs/>
          <w:i/>
          <w:iCs/>
        </w:rPr>
        <w:t xml:space="preserve">, </w:t>
      </w:r>
      <w:r w:rsidRPr="00480C1B">
        <w:rPr>
          <w:rFonts w:ascii="Times New Roman" w:hAnsi="Times New Roman" w:cs="Times New Roman"/>
          <w:bCs/>
          <w:i/>
          <w:iCs/>
        </w:rPr>
        <w:t>suivant la définition adoptée dans l’espace UEMOA,</w:t>
      </w:r>
      <w:r w:rsidR="008C6556" w:rsidRPr="00480C1B">
        <w:rPr>
          <w:rFonts w:ascii="Times New Roman" w:hAnsi="Times New Roman" w:cs="Times New Roman"/>
          <w:bCs/>
          <w:i/>
          <w:iCs/>
        </w:rPr>
        <w:t xml:space="preserve"> </w:t>
      </w:r>
      <w:r w:rsidR="001B7DDB" w:rsidRPr="00480C1B">
        <w:rPr>
          <w:rFonts w:ascii="Times New Roman" w:hAnsi="Times New Roman" w:cs="Times New Roman"/>
          <w:bCs/>
          <w:i/>
          <w:iCs/>
        </w:rPr>
        <w:t xml:space="preserve">est ressorti à </w:t>
      </w:r>
      <w:r w:rsidR="003B69F2">
        <w:rPr>
          <w:rFonts w:ascii="Times New Roman" w:hAnsi="Times New Roman" w:cs="Times New Roman"/>
          <w:b/>
          <w:bCs/>
          <w:i/>
          <w:iCs/>
        </w:rPr>
        <w:t>+1,4</w:t>
      </w:r>
      <w:r w:rsidR="001B7DDB" w:rsidRPr="0020465D">
        <w:rPr>
          <w:rFonts w:ascii="Times New Roman" w:hAnsi="Times New Roman" w:cs="Times New Roman"/>
          <w:b/>
          <w:bCs/>
          <w:i/>
          <w:iCs/>
        </w:rPr>
        <w:t>%</w:t>
      </w:r>
      <w:r w:rsidR="00A520D1">
        <w:rPr>
          <w:rFonts w:ascii="Times New Roman" w:hAnsi="Times New Roman" w:cs="Times New Roman"/>
          <w:b/>
          <w:bCs/>
          <w:i/>
          <w:iCs/>
        </w:rPr>
        <w:t>,</w:t>
      </w:r>
      <w:r w:rsidR="001C404B">
        <w:rPr>
          <w:rFonts w:ascii="Times New Roman" w:hAnsi="Times New Roman" w:cs="Times New Roman"/>
          <w:bCs/>
          <w:i/>
          <w:iCs/>
        </w:rPr>
        <w:t xml:space="preserve"> </w:t>
      </w:r>
      <w:r w:rsidR="00A520D1">
        <w:rPr>
          <w:rFonts w:ascii="Times New Roman" w:hAnsi="Times New Roman" w:cs="Times New Roman"/>
          <w:bCs/>
          <w:i/>
          <w:iCs/>
        </w:rPr>
        <w:t>soit une baisse de 0,1 point de pourcentage</w:t>
      </w:r>
      <w:r w:rsidR="00A520D1" w:rsidRPr="00480C1B">
        <w:rPr>
          <w:rFonts w:ascii="Times New Roman" w:hAnsi="Times New Roman" w:cs="Times New Roman"/>
          <w:bCs/>
          <w:i/>
          <w:iCs/>
        </w:rPr>
        <w:t xml:space="preserve"> par rapport à celui du mois précédent</w:t>
      </w:r>
      <w:r w:rsidR="00C21424" w:rsidRPr="00480C1B">
        <w:rPr>
          <w:rFonts w:ascii="Times New Roman" w:hAnsi="Times New Roman" w:cs="Times New Roman"/>
          <w:bCs/>
          <w:i/>
          <w:iCs/>
        </w:rPr>
        <w:t>.</w:t>
      </w:r>
    </w:p>
    <w:p w14:paraId="481FF28B" w14:textId="5E089EDC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1: Indice Harmonisé des Prix à l</w:t>
      </w:r>
      <w:r w:rsidR="006972F4" w:rsidRPr="00375101">
        <w:rPr>
          <w:rFonts w:ascii="Times New Roman" w:hAnsi="Times New Roman"/>
          <w:b/>
          <w:color w:val="auto"/>
        </w:rPr>
        <w:t xml:space="preserve">a </w:t>
      </w:r>
      <w:r w:rsidR="005B16A4" w:rsidRPr="00375101">
        <w:rPr>
          <w:rFonts w:ascii="Times New Roman" w:hAnsi="Times New Roman"/>
          <w:b/>
          <w:color w:val="auto"/>
        </w:rPr>
        <w:t xml:space="preserve">Consommation du mois </w:t>
      </w:r>
      <w:r w:rsidR="00556952">
        <w:rPr>
          <w:rFonts w:ascii="Times New Roman" w:hAnsi="Times New Roman"/>
          <w:b/>
          <w:color w:val="auto"/>
        </w:rPr>
        <w:t>de décembre</w:t>
      </w:r>
      <w:r w:rsidR="00464B08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260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39"/>
        <w:gridCol w:w="590"/>
        <w:gridCol w:w="635"/>
        <w:gridCol w:w="635"/>
        <w:gridCol w:w="635"/>
        <w:gridCol w:w="635"/>
        <w:gridCol w:w="635"/>
        <w:gridCol w:w="635"/>
        <w:gridCol w:w="660"/>
        <w:gridCol w:w="661"/>
        <w:gridCol w:w="640"/>
        <w:gridCol w:w="760"/>
      </w:tblGrid>
      <w:tr w:rsidR="005D508A" w:rsidRPr="005D508A" w14:paraId="622C97EC" w14:textId="77777777" w:rsidTr="00313846">
        <w:trPr>
          <w:trHeight w:val="351"/>
          <w:jc w:val="center"/>
        </w:trPr>
        <w:tc>
          <w:tcPr>
            <w:tcW w:w="31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CA89378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3A2E1552" w14:textId="77777777" w:rsidR="005D508A" w:rsidRPr="005D508A" w:rsidRDefault="005D508A" w:rsidP="005D508A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38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14F4C382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Indice du mois de :</w:t>
            </w:r>
          </w:p>
        </w:tc>
        <w:tc>
          <w:tcPr>
            <w:tcW w:w="27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CFD081A" w14:textId="77777777" w:rsidR="005D508A" w:rsidRPr="00445166" w:rsidRDefault="005D508A" w:rsidP="00AC1745">
            <w:pPr>
              <w:spacing w:before="120"/>
              <w:jc w:val="center"/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</w:pPr>
            <w:r w:rsidRPr="00445166">
              <w:rPr>
                <w:rFonts w:ascii="Times New Roman" w:hAnsi="Times New Roman" w:cs="Times New Roman"/>
                <w:b/>
                <w:sz w:val="18"/>
                <w:szCs w:val="18"/>
                <w:lang w:eastAsia="fr-FR"/>
              </w:rPr>
              <w:t>Variation depuis :</w:t>
            </w:r>
          </w:p>
        </w:tc>
      </w:tr>
      <w:tr w:rsidR="006D3E60" w:rsidRPr="005D508A" w14:paraId="234C1977" w14:textId="77777777" w:rsidTr="00313846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3CD27B4" w14:textId="77777777" w:rsidR="005C0071" w:rsidRPr="005D508A" w:rsidRDefault="005C0071" w:rsidP="005C0071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 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078FE9B" w14:textId="77777777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Poids</w:t>
            </w:r>
          </w:p>
        </w:tc>
        <w:tc>
          <w:tcPr>
            <w:tcW w:w="6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CCC4E75" w14:textId="33F4D550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déc.-21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4EAC9A7" w14:textId="56A1023C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mai.-22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E46DBC4" w14:textId="6AE6BD88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sept.-22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F69CEB7" w14:textId="34D41D24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oct.-22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92BF428" w14:textId="5AF5CB31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nov.-22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6428CC7" w14:textId="48DBA6E5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déc.-22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1F9DDC" w14:textId="77777777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 mois</w:t>
            </w:r>
          </w:p>
        </w:tc>
        <w:tc>
          <w:tcPr>
            <w:tcW w:w="6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21F7EC85" w14:textId="77777777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 mois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3F397DDD" w14:textId="77777777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6 mois</w:t>
            </w:r>
          </w:p>
        </w:tc>
        <w:tc>
          <w:tcPr>
            <w:tcW w:w="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B9E4F12" w14:textId="77777777" w:rsidR="005C0071" w:rsidRPr="005D508A" w:rsidRDefault="005C0071" w:rsidP="005C0071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12 mois</w:t>
            </w:r>
          </w:p>
        </w:tc>
      </w:tr>
      <w:tr w:rsidR="009A0B73" w:rsidRPr="005D508A" w14:paraId="5F5B848C" w14:textId="77777777" w:rsidTr="000A1943">
        <w:trPr>
          <w:trHeight w:val="319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79BF5A" w14:textId="77777777" w:rsidR="009A0B73" w:rsidRPr="005D508A" w:rsidRDefault="009A0B73" w:rsidP="000A194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INDICE GLOBAL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AEA05D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10000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4AB9E5" w14:textId="762E9A7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CA632E" w14:textId="0C524FD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4B9F26" w14:textId="71D1831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253A91" w14:textId="08EDB8E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448446" w14:textId="48F5E5B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342BB" w14:textId="2BCB7D0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73B67C" w14:textId="5B49CE9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2C6F84" w14:textId="25300D1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7BEE4D6" w14:textId="184D8BE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D9CF6" w14:textId="34004A2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</w:tr>
      <w:tr w:rsidR="009A0B73" w:rsidRPr="005D508A" w14:paraId="3F64C74F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4F8E060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1. Produits alimentaires et boissons non alcoolisées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6AC4A3D4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3751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4CDFDDF" w14:textId="504EECF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D90FF3F" w14:textId="6B35C0A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E9CE64E" w14:textId="1172707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43C370B" w14:textId="14C3B88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51892CF" w14:textId="08C4B8E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C50C08" w14:textId="690EC8C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112,2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46B5A10" w14:textId="1CBFCC4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56AD269" w14:textId="420C47A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6,7%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E16BB46" w14:textId="24A35A1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91B1797" w14:textId="3CCD9F8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</w:tr>
      <w:tr w:rsidR="009A0B73" w:rsidRPr="005D508A" w14:paraId="4F28D0FE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EF82B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2. Boissons alcoolisées,  Tabac et stupéfiants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354A0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925125" w14:textId="6964995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3FDC2C" w14:textId="0E83721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E54C2" w14:textId="57114B9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668F9" w14:textId="43D9CBF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F1C6" w14:textId="44F93CD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9002F" w14:textId="6F8F313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2890150" w14:textId="519D45D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D0425D1" w14:textId="39DD997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2B8EE7" w14:textId="613EC51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1,7%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614CD" w14:textId="6A2650B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3,4%</w:t>
            </w:r>
          </w:p>
        </w:tc>
      </w:tr>
      <w:tr w:rsidR="009A0B73" w:rsidRPr="005D508A" w14:paraId="093E099A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BE675EA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3. Articles d'habillement et chaussures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3468374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509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32DACEB" w14:textId="4218926C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A4F7A8E" w14:textId="396B841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61D797E" w14:textId="2CAAA5F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3CAC3CC" w14:textId="1BBB11D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4C62799" w14:textId="41CD532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0EA0528" w14:textId="750EB79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CD48A93" w14:textId="3224AEE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0,6%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0D50857" w14:textId="201FDA4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7ADAA66" w14:textId="79E6C21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C6EFF1F" w14:textId="3866627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5,1%</w:t>
            </w:r>
          </w:p>
        </w:tc>
      </w:tr>
      <w:tr w:rsidR="009A0B73" w:rsidRPr="005D508A" w14:paraId="630EA7B6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31B69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4. Logement, eau, gaz, électricité et autres combustibles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3F430B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1087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FBC3CE" w14:textId="21F4A13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938243" w14:textId="03F04F8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F928AB" w14:textId="5FF2FC1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101,8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9A0A5A" w14:textId="1A271BD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8BFD8F" w14:textId="09B8A77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B08C6" w14:textId="6404219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FDC8C1E" w14:textId="71EC295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AF81BDC" w14:textId="46ADDD4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B51B345" w14:textId="52B5731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7,4%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572AB9" w14:textId="04DE877C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</w:tr>
      <w:tr w:rsidR="009A0B73" w:rsidRPr="005D508A" w14:paraId="18BBA960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44ED46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 xml:space="preserve">5. Meubles, articles de ménage et entretien courant 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4F6F72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222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9733A29" w14:textId="6CFECAF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48B1741" w14:textId="4B9DCEC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707E2B8" w14:textId="6A99D67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49178F9" w14:textId="0FB7BFA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BDAB0EA" w14:textId="0B920C5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FC1CD49" w14:textId="23D3973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8ED3FEA" w14:textId="1C5F11E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0B9B80C" w14:textId="57BD836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FD65523" w14:textId="2C41148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2,6%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0C8D0313" w14:textId="6EE8EA5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7,0%</w:t>
            </w:r>
          </w:p>
        </w:tc>
      </w:tr>
      <w:tr w:rsidR="009A0B73" w:rsidRPr="005D508A" w14:paraId="7C54F339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5D8790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6. Santé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26884A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4744CB" w14:textId="720305A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26E548" w14:textId="0F1BF20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36C436" w14:textId="0CC7473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122947" w14:textId="09A44D5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C66494" w14:textId="0E893A7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D6F29" w14:textId="54B6337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E593B" w14:textId="7C8C919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161DE0A" w14:textId="18505E5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8FE28E" w14:textId="54F1830C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F3140D" w14:textId="5C1354A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1,9%</w:t>
            </w:r>
          </w:p>
        </w:tc>
      </w:tr>
      <w:tr w:rsidR="009A0B73" w:rsidRPr="005D508A" w14:paraId="6958BC8F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203D89D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7. Transports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899EDDB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1102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446B6D6" w14:textId="514B584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7E10623" w14:textId="3617ED4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EB530C0" w14:textId="13CA7B7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81C0CE5" w14:textId="78AC89E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116,5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7276A30" w14:textId="5351B31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120,7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E21615F" w14:textId="3524581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120,5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1A13A40" w14:textId="03A6150C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14480B2" w14:textId="3CD09C4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7,1%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C09DF2B" w14:textId="39264AE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8,0%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1C3386E" w14:textId="0C5DE2F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11,7%</w:t>
            </w:r>
          </w:p>
        </w:tc>
      </w:tr>
      <w:tr w:rsidR="009A0B73" w:rsidRPr="005D508A" w14:paraId="306ED4AD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46A9AC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8. Communication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E7D84B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442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61808D" w14:textId="171D0FBC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98,9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D69C1" w14:textId="56125B5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1EE45B" w14:textId="2E124CB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2B6FB1" w14:textId="6C15D26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68C413" w14:textId="6A183D5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E087" w14:textId="04AC308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98,7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450436E" w14:textId="6E39091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637A922" w14:textId="53F5631C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603ADE" w14:textId="6E74517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BF355C" w14:textId="160314F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9A0B73" w:rsidRPr="005D508A" w14:paraId="57A43D1A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6E1CAEA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9. Loisirs et culture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F323339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162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3E3DEBD" w14:textId="5B09490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7E4A1A5" w14:textId="79B88BB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91A1E7D" w14:textId="70BB079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A10A2A9" w14:textId="7E7D017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105,8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B3D13F8" w14:textId="07F0871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34048F" w14:textId="5C1063F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107,0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39FB857" w14:textId="7F8723D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16FCC02" w14:textId="5B5933B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8F21981" w14:textId="005BF47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3,8%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AC94D38" w14:textId="2985AF0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</w:tr>
      <w:tr w:rsidR="009A0B73" w:rsidRPr="005D508A" w14:paraId="22E86772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8ED87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10. Enseignement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4D4125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564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C8C78A" w14:textId="45767F2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103,1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9BBB39" w14:textId="61408B3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103,0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6A40A0" w14:textId="7C2D0C5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103,6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E2430" w14:textId="017FFE0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FF105E" w14:textId="0B3C65C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23B234" w14:textId="14E40E4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6783662" w14:textId="16CCE5D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0,0%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CAF7A3" w14:textId="037517F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0,7%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8AFE3C" w14:textId="3517A94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480B5A" w14:textId="3DB6D8A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1,2%</w:t>
            </w:r>
          </w:p>
        </w:tc>
      </w:tr>
      <w:tr w:rsidR="009A0B73" w:rsidRPr="005D508A" w14:paraId="761B843A" w14:textId="77777777" w:rsidTr="000A1943">
        <w:trPr>
          <w:trHeight w:val="267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8D53BAF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11. Restaurants et Hôtels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75F760D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1156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440A384" w14:textId="5CFD6C2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104,7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ECDF425" w14:textId="541F4D8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E1BE636" w14:textId="081978A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F5B9D5A" w14:textId="51A43E3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104,2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8B06994" w14:textId="2F39E72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104,4</w:t>
            </w:r>
          </w:p>
        </w:tc>
        <w:tc>
          <w:tcPr>
            <w:tcW w:w="6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2CF0B31" w14:textId="4BD0811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BED01A9" w14:textId="7336830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6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3E658656" w14:textId="5D128DB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7DF7831" w14:textId="5AA2E3F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0,5%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312DFAB" w14:textId="092A629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</w:tr>
      <w:tr w:rsidR="009A0B73" w:rsidRPr="005D508A" w14:paraId="2A2E36B0" w14:textId="77777777" w:rsidTr="000A1943">
        <w:trPr>
          <w:trHeight w:val="282"/>
          <w:jc w:val="center"/>
        </w:trPr>
        <w:tc>
          <w:tcPr>
            <w:tcW w:w="313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AC8E7F" w14:textId="77777777" w:rsidR="009A0B73" w:rsidRPr="005D508A" w:rsidRDefault="009A0B73" w:rsidP="000A1943">
            <w:pPr>
              <w:rPr>
                <w:rFonts w:ascii="Times New Roman" w:hAnsi="Times New Roman" w:cs="Times New Roman"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sz w:val="18"/>
                <w:szCs w:val="18"/>
                <w:lang w:eastAsia="fr-FR"/>
              </w:rPr>
              <w:t>12. Biens et services divers</w:t>
            </w:r>
          </w:p>
        </w:tc>
        <w:tc>
          <w:tcPr>
            <w:tcW w:w="59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E3677E" w14:textId="77777777" w:rsidR="009A0B73" w:rsidRPr="005D508A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</w:pPr>
            <w:r w:rsidRPr="005D508A"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fr-FR"/>
              </w:rPr>
              <w:t>493</w:t>
            </w:r>
          </w:p>
        </w:tc>
        <w:tc>
          <w:tcPr>
            <w:tcW w:w="635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61FF1" w14:textId="436BF5C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45238" w14:textId="4713778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D2F6E0" w14:textId="7BF185C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5C29F" w14:textId="14F064E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82009" w14:textId="719DE5F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112,6</w:t>
            </w:r>
          </w:p>
        </w:tc>
        <w:tc>
          <w:tcPr>
            <w:tcW w:w="6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1BDAE" w14:textId="68FFCC5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A268FD4" w14:textId="6610230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0,8%</w:t>
            </w:r>
          </w:p>
        </w:tc>
        <w:tc>
          <w:tcPr>
            <w:tcW w:w="66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6468AD20" w14:textId="1F2399A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  <w:tc>
          <w:tcPr>
            <w:tcW w:w="64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1EC6A128" w14:textId="4DCD1FE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4,2%</w:t>
            </w:r>
          </w:p>
        </w:tc>
        <w:tc>
          <w:tcPr>
            <w:tcW w:w="76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215106" w14:textId="5A1A9A4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5,5%</w:t>
            </w:r>
          </w:p>
        </w:tc>
      </w:tr>
    </w:tbl>
    <w:p w14:paraId="75C61F74" w14:textId="06C82633" w:rsidR="00313846" w:rsidRPr="00494DF3" w:rsidRDefault="00313846" w:rsidP="00313846">
      <w:pPr>
        <w:pStyle w:val="Titre4"/>
        <w:spacing w:before="60"/>
        <w:rPr>
          <w:rFonts w:ascii="Times New Roman" w:hAnsi="Times New Roman"/>
          <w:color w:val="auto"/>
          <w:sz w:val="16"/>
          <w:szCs w:val="16"/>
        </w:rPr>
      </w:pPr>
      <w:r>
        <w:rPr>
          <w:rFonts w:ascii="Times New Roman" w:hAnsi="Times New Roman"/>
          <w:color w:val="auto"/>
          <w:sz w:val="16"/>
          <w:szCs w:val="16"/>
        </w:rPr>
        <w:t xml:space="preserve">Note : </w:t>
      </w:r>
      <w:r w:rsidRPr="0042781F">
        <w:rPr>
          <w:rFonts w:ascii="Times New Roman" w:hAnsi="Times New Roman"/>
          <w:color w:val="auto"/>
          <w:sz w:val="16"/>
          <w:szCs w:val="16"/>
        </w:rPr>
        <w:t>Base 100 : année 2014</w:t>
      </w:r>
    </w:p>
    <w:p w14:paraId="49F4B9CE" w14:textId="4CB1AAE3" w:rsidR="003671B8" w:rsidRDefault="003671B8" w:rsidP="00C843F9">
      <w:pPr>
        <w:pStyle w:val="Titre4"/>
        <w:spacing w:before="0"/>
        <w:rPr>
          <w:rFonts w:ascii="Times New Roman" w:hAnsi="Times New Roman"/>
          <w:b w:val="0"/>
          <w:bCs w:val="0"/>
          <w:color w:val="auto"/>
          <w:sz w:val="16"/>
          <w:szCs w:val="16"/>
        </w:rPr>
      </w:pPr>
      <w:r w:rsidRPr="0042781F">
        <w:rPr>
          <w:rFonts w:ascii="Times New Roman" w:hAnsi="Times New Roman"/>
          <w:b w:val="0"/>
          <w:color w:val="auto"/>
          <w:sz w:val="16"/>
          <w:szCs w:val="16"/>
          <w:u w:val="single"/>
        </w:rPr>
        <w:t>Source</w:t>
      </w:r>
      <w:r w:rsidRPr="0042781F">
        <w:rPr>
          <w:rFonts w:ascii="Times New Roman" w:hAnsi="Times New Roman"/>
          <w:b w:val="0"/>
          <w:color w:val="auto"/>
          <w:sz w:val="16"/>
          <w:szCs w:val="16"/>
        </w:rPr>
        <w:t xml:space="preserve"> : </w:t>
      </w:r>
      <w:r w:rsidR="008A3165">
        <w:rPr>
          <w:rFonts w:ascii="Times New Roman" w:hAnsi="Times New Roman"/>
          <w:b w:val="0"/>
          <w:bCs w:val="0"/>
          <w:color w:val="auto"/>
          <w:sz w:val="16"/>
          <w:szCs w:val="16"/>
        </w:rPr>
        <w:t xml:space="preserve">INStaD/DCNSE, </w:t>
      </w:r>
      <w:r w:rsidR="005C0071">
        <w:rPr>
          <w:rFonts w:ascii="Times New Roman" w:hAnsi="Times New Roman"/>
          <w:b w:val="0"/>
          <w:bCs w:val="0"/>
          <w:color w:val="auto"/>
          <w:sz w:val="16"/>
          <w:szCs w:val="16"/>
        </w:rPr>
        <w:t>décembre</w:t>
      </w:r>
      <w:r w:rsidR="008A3165">
        <w:rPr>
          <w:rFonts w:ascii="Times New Roman" w:hAnsi="Times New Roman"/>
          <w:b w:val="0"/>
          <w:bCs w:val="0"/>
          <w:color w:val="auto"/>
          <w:sz w:val="16"/>
          <w:szCs w:val="16"/>
        </w:rPr>
        <w:t xml:space="preserve"> 2022</w:t>
      </w:r>
    </w:p>
    <w:p w14:paraId="56F5A925" w14:textId="77777777" w:rsidR="00313846" w:rsidRPr="00313846" w:rsidRDefault="00313846" w:rsidP="00313846"/>
    <w:p w14:paraId="3CD36EDB" w14:textId="77777777" w:rsidR="003671B8" w:rsidRPr="00375101" w:rsidRDefault="003671B8" w:rsidP="003671B8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Tableau 2: Evolution du taux d’inflation</w:t>
      </w:r>
    </w:p>
    <w:tbl>
      <w:tblPr>
        <w:tblW w:w="10189" w:type="dxa"/>
        <w:tblInd w:w="-142" w:type="dxa"/>
        <w:tblBorders>
          <w:top w:val="double" w:sz="6" w:space="0" w:color="auto"/>
          <w:bottom w:val="double" w:sz="6" w:space="0" w:color="auto"/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16"/>
        <w:gridCol w:w="611"/>
        <w:gridCol w:w="742"/>
        <w:gridCol w:w="627"/>
        <w:gridCol w:w="736"/>
        <w:gridCol w:w="736"/>
        <w:gridCol w:w="629"/>
        <w:gridCol w:w="626"/>
        <w:gridCol w:w="634"/>
        <w:gridCol w:w="703"/>
        <w:gridCol w:w="629"/>
        <w:gridCol w:w="629"/>
        <w:gridCol w:w="629"/>
        <w:gridCol w:w="742"/>
      </w:tblGrid>
      <w:tr w:rsidR="005C0071" w:rsidRPr="006D3E60" w14:paraId="508960FF" w14:textId="0BEE9B51" w:rsidTr="00313846">
        <w:trPr>
          <w:trHeight w:val="5"/>
        </w:trPr>
        <w:tc>
          <w:tcPr>
            <w:tcW w:w="1516" w:type="dxa"/>
            <w:shd w:val="clear" w:color="auto" w:fill="9CC2E5" w:themeFill="accent1" w:themeFillTint="99"/>
            <w:noWrap/>
            <w:vAlign w:val="bottom"/>
            <w:hideMark/>
          </w:tcPr>
          <w:p w14:paraId="16509962" w14:textId="77777777" w:rsidR="005C0071" w:rsidRPr="006D3E60" w:rsidRDefault="005C0071" w:rsidP="005C0071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 xml:space="preserve"> Libellé</w:t>
            </w:r>
          </w:p>
        </w:tc>
        <w:tc>
          <w:tcPr>
            <w:tcW w:w="611" w:type="dxa"/>
            <w:shd w:val="clear" w:color="auto" w:fill="9CC2E5" w:themeFill="accent1" w:themeFillTint="99"/>
          </w:tcPr>
          <w:p w14:paraId="131E5173" w14:textId="32785654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déc.-21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0D275AC2" w14:textId="57A79C22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janv.-22</w:t>
            </w:r>
          </w:p>
        </w:tc>
        <w:tc>
          <w:tcPr>
            <w:tcW w:w="627" w:type="dxa"/>
            <w:shd w:val="clear" w:color="auto" w:fill="9CC2E5" w:themeFill="accent1" w:themeFillTint="99"/>
          </w:tcPr>
          <w:p w14:paraId="39D17DDF" w14:textId="0F6D0DED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févr.-22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34D6B319" w14:textId="744E5CFD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mars.-22</w:t>
            </w:r>
          </w:p>
        </w:tc>
        <w:tc>
          <w:tcPr>
            <w:tcW w:w="736" w:type="dxa"/>
            <w:shd w:val="clear" w:color="auto" w:fill="9CC2E5" w:themeFill="accent1" w:themeFillTint="99"/>
          </w:tcPr>
          <w:p w14:paraId="2BA18CD1" w14:textId="580C8752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avr.-22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6FA3F362" w14:textId="48B4AB44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mai.-22</w:t>
            </w:r>
          </w:p>
        </w:tc>
        <w:tc>
          <w:tcPr>
            <w:tcW w:w="626" w:type="dxa"/>
            <w:shd w:val="clear" w:color="auto" w:fill="9CC2E5" w:themeFill="accent1" w:themeFillTint="99"/>
          </w:tcPr>
          <w:p w14:paraId="7FBCDF0C" w14:textId="689D279E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juin.-22</w:t>
            </w:r>
          </w:p>
        </w:tc>
        <w:tc>
          <w:tcPr>
            <w:tcW w:w="634" w:type="dxa"/>
            <w:shd w:val="clear" w:color="auto" w:fill="9CC2E5" w:themeFill="accent1" w:themeFillTint="99"/>
          </w:tcPr>
          <w:p w14:paraId="0BC5D7A8" w14:textId="2925B6B5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juil.-22</w:t>
            </w:r>
          </w:p>
        </w:tc>
        <w:tc>
          <w:tcPr>
            <w:tcW w:w="703" w:type="dxa"/>
            <w:shd w:val="clear" w:color="auto" w:fill="9CC2E5" w:themeFill="accent1" w:themeFillTint="99"/>
          </w:tcPr>
          <w:p w14:paraId="3FEF0B18" w14:textId="569BFF45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août.-22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BF82104" w14:textId="5303DFB9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sept.-22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0F43B2D7" w14:textId="6D616CF4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oct.-22</w:t>
            </w:r>
          </w:p>
        </w:tc>
        <w:tc>
          <w:tcPr>
            <w:tcW w:w="629" w:type="dxa"/>
            <w:shd w:val="clear" w:color="auto" w:fill="9CC2E5" w:themeFill="accent1" w:themeFillTint="99"/>
          </w:tcPr>
          <w:p w14:paraId="2035751B" w14:textId="392193B8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nov.-22</w:t>
            </w:r>
          </w:p>
        </w:tc>
        <w:tc>
          <w:tcPr>
            <w:tcW w:w="742" w:type="dxa"/>
            <w:shd w:val="clear" w:color="auto" w:fill="9CC2E5" w:themeFill="accent1" w:themeFillTint="99"/>
          </w:tcPr>
          <w:p w14:paraId="5BC92719" w14:textId="474F39F3" w:rsidR="005C0071" w:rsidRPr="006D3E60" w:rsidRDefault="005C0071" w:rsidP="005C0071">
            <w:pPr>
              <w:jc w:val="center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6D3E60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déc.-22</w:t>
            </w:r>
          </w:p>
        </w:tc>
      </w:tr>
      <w:tr w:rsidR="00BC6A63" w:rsidRPr="003B7426" w14:paraId="1572F98E" w14:textId="4EEDDE85" w:rsidTr="006D3E60">
        <w:trPr>
          <w:trHeight w:val="29"/>
        </w:trPr>
        <w:tc>
          <w:tcPr>
            <w:tcW w:w="1516" w:type="dxa"/>
            <w:shd w:val="clear" w:color="auto" w:fill="auto"/>
            <w:noWrap/>
            <w:vAlign w:val="bottom"/>
            <w:hideMark/>
          </w:tcPr>
          <w:p w14:paraId="415B0934" w14:textId="77777777" w:rsidR="00BC6A63" w:rsidRPr="0042781F" w:rsidRDefault="00BC6A63" w:rsidP="00BC6A63">
            <w:pPr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42781F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Taux d'inflation (en critère de convergence)</w:t>
            </w:r>
          </w:p>
        </w:tc>
        <w:tc>
          <w:tcPr>
            <w:tcW w:w="611" w:type="dxa"/>
            <w:vAlign w:val="center"/>
          </w:tcPr>
          <w:p w14:paraId="343C88B6" w14:textId="5DECDE0F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+1,7%</w:t>
            </w:r>
          </w:p>
        </w:tc>
        <w:tc>
          <w:tcPr>
            <w:tcW w:w="742" w:type="dxa"/>
            <w:vAlign w:val="center"/>
          </w:tcPr>
          <w:p w14:paraId="14E86766" w14:textId="68BA2234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+2,4%</w:t>
            </w:r>
          </w:p>
        </w:tc>
        <w:tc>
          <w:tcPr>
            <w:tcW w:w="627" w:type="dxa"/>
            <w:vAlign w:val="center"/>
          </w:tcPr>
          <w:p w14:paraId="4ADC4466" w14:textId="67DDF025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+2,8%</w:t>
            </w:r>
          </w:p>
        </w:tc>
        <w:tc>
          <w:tcPr>
            <w:tcW w:w="736" w:type="dxa"/>
            <w:vAlign w:val="center"/>
          </w:tcPr>
          <w:p w14:paraId="7F61C775" w14:textId="4AE4BE74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736" w:type="dxa"/>
            <w:vAlign w:val="center"/>
          </w:tcPr>
          <w:p w14:paraId="544CCF76" w14:textId="17E56DAC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+3,0%</w:t>
            </w:r>
          </w:p>
        </w:tc>
        <w:tc>
          <w:tcPr>
            <w:tcW w:w="629" w:type="dxa"/>
            <w:vAlign w:val="center"/>
          </w:tcPr>
          <w:p w14:paraId="058D05A7" w14:textId="37FBFF12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+2,9%</w:t>
            </w:r>
          </w:p>
        </w:tc>
        <w:tc>
          <w:tcPr>
            <w:tcW w:w="626" w:type="dxa"/>
            <w:vAlign w:val="center"/>
          </w:tcPr>
          <w:p w14:paraId="74778A27" w14:textId="13652ED2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+2,3%</w:t>
            </w:r>
          </w:p>
        </w:tc>
        <w:tc>
          <w:tcPr>
            <w:tcW w:w="634" w:type="dxa"/>
            <w:vAlign w:val="center"/>
          </w:tcPr>
          <w:p w14:paraId="3735EC77" w14:textId="3DAB8134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+2,0%</w:t>
            </w:r>
          </w:p>
        </w:tc>
        <w:tc>
          <w:tcPr>
            <w:tcW w:w="703" w:type="dxa"/>
            <w:vAlign w:val="center"/>
          </w:tcPr>
          <w:p w14:paraId="09762B97" w14:textId="04619C84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+1,9%</w:t>
            </w:r>
          </w:p>
        </w:tc>
        <w:tc>
          <w:tcPr>
            <w:tcW w:w="629" w:type="dxa"/>
            <w:vAlign w:val="center"/>
          </w:tcPr>
          <w:p w14:paraId="42E2A2ED" w14:textId="4D5AC693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68E49270" w14:textId="4AF7DB6C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629" w:type="dxa"/>
            <w:vAlign w:val="center"/>
          </w:tcPr>
          <w:p w14:paraId="7CDA9468" w14:textId="6AE2BE41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+1,5%</w:t>
            </w:r>
          </w:p>
        </w:tc>
        <w:tc>
          <w:tcPr>
            <w:tcW w:w="742" w:type="dxa"/>
            <w:vAlign w:val="center"/>
          </w:tcPr>
          <w:p w14:paraId="167E7880" w14:textId="66068377" w:rsidR="00BC6A63" w:rsidRDefault="00BC6A63" w:rsidP="006D3E60">
            <w:pPr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+1,4%</w:t>
            </w:r>
          </w:p>
        </w:tc>
      </w:tr>
    </w:tbl>
    <w:p w14:paraId="76DC6AD0" w14:textId="0CE28CE8" w:rsidR="00FC5523" w:rsidRDefault="003671B8" w:rsidP="002370EA">
      <w:pPr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</w:pPr>
      <w:r w:rsidRPr="0042781F">
        <w:rPr>
          <w:rFonts w:ascii="Times New Roman" w:eastAsiaTheme="majorEastAsia" w:hAnsi="Times New Roman" w:cstheme="majorBidi"/>
          <w:bCs/>
          <w:i/>
          <w:iCs/>
          <w:sz w:val="16"/>
          <w:szCs w:val="16"/>
          <w:u w:val="single"/>
        </w:rPr>
        <w:t>Source </w:t>
      </w:r>
      <w:r w:rsidRPr="00E22F01">
        <w:rPr>
          <w:bCs/>
          <w:sz w:val="16"/>
          <w:szCs w:val="16"/>
        </w:rPr>
        <w:t xml:space="preserve">: </w:t>
      </w:r>
      <w:r w:rsidR="008A316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INStaD/DCNSE, </w:t>
      </w:r>
      <w:r w:rsidR="005C0071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>décembre</w:t>
      </w:r>
      <w:r w:rsidR="008A3165">
        <w:rPr>
          <w:rFonts w:ascii="Times New Roman" w:eastAsiaTheme="majorEastAsia" w:hAnsi="Times New Roman" w:cstheme="majorBidi"/>
          <w:bCs/>
          <w:i/>
          <w:iCs/>
          <w:sz w:val="16"/>
          <w:szCs w:val="16"/>
        </w:rPr>
        <w:t xml:space="preserve"> 2022</w:t>
      </w:r>
    </w:p>
    <w:p w14:paraId="00FAB08B" w14:textId="77777777" w:rsidR="00194F76" w:rsidRPr="00375101" w:rsidRDefault="00194F76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1</w:t>
      </w:r>
      <w:r w:rsidRPr="00375101">
        <w:rPr>
          <w:rFonts w:ascii="Times New Roman" w:hAnsi="Times New Roman"/>
          <w:b/>
          <w:color w:val="auto"/>
        </w:rPr>
        <w:t> : Evolution du taux d’inflation en critère de convergence UEMOA</w:t>
      </w:r>
    </w:p>
    <w:p w14:paraId="2C536517" w14:textId="0F612545" w:rsidR="005810A3" w:rsidRDefault="00A520D1" w:rsidP="003671B8">
      <w:pPr>
        <w:tabs>
          <w:tab w:val="left" w:pos="1740"/>
        </w:tabs>
        <w:rPr>
          <w:b/>
          <w:bCs/>
          <w:i/>
          <w:iCs/>
        </w:rPr>
      </w:pPr>
      <w:r>
        <w:rPr>
          <w:noProof/>
          <w:lang w:eastAsia="fr-FR"/>
        </w:rPr>
        <w:drawing>
          <wp:inline distT="0" distB="0" distL="0" distR="0" wp14:anchorId="10CB8A28" wp14:editId="041D5625">
            <wp:extent cx="5686425" cy="1714500"/>
            <wp:effectExtent l="0" t="0" r="9525" b="0"/>
            <wp:docPr id="1" name="Graphique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124BE113" w14:textId="770EF4A5" w:rsidR="000C3B65" w:rsidRDefault="005810A3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3CC5682" w14:textId="77777777" w:rsidR="00313846" w:rsidRPr="00CA6819" w:rsidRDefault="00313846" w:rsidP="00CA6819">
      <w:pPr>
        <w:tabs>
          <w:tab w:val="left" w:pos="1740"/>
        </w:tabs>
        <w:rPr>
          <w:rFonts w:ascii="Times New Roman" w:hAnsi="Times New Roman" w:cs="Times New Roman"/>
          <w:bCs/>
          <w:sz w:val="16"/>
          <w:szCs w:val="16"/>
        </w:rPr>
      </w:pPr>
    </w:p>
    <w:p w14:paraId="3A5E6484" w14:textId="77777777" w:rsidR="003671B8" w:rsidRPr="00375101" w:rsidRDefault="00C26A1D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2</w:t>
      </w:r>
      <w:r w:rsidR="003671B8" w:rsidRPr="00375101">
        <w:rPr>
          <w:rFonts w:ascii="Times New Roman" w:hAnsi="Times New Roman"/>
          <w:b/>
          <w:color w:val="auto"/>
        </w:rPr>
        <w:t> : Evolution de l'indice global et de l'indice hors produits frais et énergétiques</w:t>
      </w:r>
    </w:p>
    <w:p w14:paraId="5242ED36" w14:textId="29C86092" w:rsidR="00856AE6" w:rsidRPr="00856AE6" w:rsidRDefault="00235D05" w:rsidP="00856AE6">
      <w:r>
        <w:rPr>
          <w:noProof/>
          <w:lang w:eastAsia="fr-FR"/>
        </w:rPr>
        <w:drawing>
          <wp:inline distT="0" distB="0" distL="0" distR="0" wp14:anchorId="3E051904" wp14:editId="7DC0873F">
            <wp:extent cx="5772150" cy="1828800"/>
            <wp:effectExtent l="0" t="0" r="0" b="0"/>
            <wp:docPr id="3" name="Graphique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  <w:bookmarkStart w:id="0" w:name="_GoBack"/>
      <w:bookmarkEnd w:id="0"/>
    </w:p>
    <w:p w14:paraId="62D67BB7" w14:textId="193960A9" w:rsidR="00C11150" w:rsidRPr="00CA6819" w:rsidRDefault="003671B8" w:rsidP="00CA6819">
      <w:pPr>
        <w:tabs>
          <w:tab w:val="left" w:pos="1740"/>
        </w:tabs>
        <w:rPr>
          <w:rFonts w:ascii="Times New Roman" w:hAnsi="Times New Roman" w:cs="Times New Roman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5954F65E" w14:textId="77777777" w:rsidR="003671B8" w:rsidRPr="00375101" w:rsidRDefault="00C26A1D" w:rsidP="00D41C5D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>Graphique 3</w:t>
      </w:r>
      <w:r w:rsidR="003671B8" w:rsidRPr="00375101">
        <w:rPr>
          <w:rFonts w:ascii="Times New Roman" w:hAnsi="Times New Roman"/>
          <w:b/>
          <w:color w:val="auto"/>
        </w:rPr>
        <w:t> : Evolution mensuelle de l'indice global et de l'indice des produits alimentaires</w:t>
      </w:r>
    </w:p>
    <w:p w14:paraId="2B7C5AA7" w14:textId="31042FDA" w:rsidR="00B16003" w:rsidRDefault="00235D05" w:rsidP="003671B8">
      <w:pPr>
        <w:rPr>
          <w:rFonts w:ascii="Times New Roman" w:hAnsi="Times New Roman" w:cs="Times New Roman"/>
          <w:bCs/>
          <w:sz w:val="16"/>
          <w:szCs w:val="16"/>
          <w:u w:val="single"/>
        </w:rPr>
      </w:pPr>
      <w:r>
        <w:rPr>
          <w:noProof/>
          <w:lang w:eastAsia="fr-FR"/>
        </w:rPr>
        <w:drawing>
          <wp:inline distT="0" distB="0" distL="0" distR="0" wp14:anchorId="50179660" wp14:editId="65354FAE">
            <wp:extent cx="5734050" cy="1809750"/>
            <wp:effectExtent l="0" t="0" r="0" b="0"/>
            <wp:docPr id="4" name="Graphique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</w:p>
    <w:p w14:paraId="2D40790B" w14:textId="7D1286B3" w:rsidR="00235D05" w:rsidRDefault="003671B8" w:rsidP="005E323D">
      <w:pPr>
        <w:rPr>
          <w:rFonts w:ascii="Times New Roman" w:hAnsi="Times New Roman" w:cs="Times New Roman"/>
          <w:bCs/>
          <w:sz w:val="16"/>
          <w:szCs w:val="16"/>
        </w:rPr>
      </w:pPr>
      <w:r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4CB954A7" w14:textId="7CF164CE" w:rsidR="00235D05" w:rsidRDefault="00235D05" w:rsidP="00235D05">
      <w:pPr>
        <w:rPr>
          <w:rFonts w:ascii="Times New Roman" w:hAnsi="Times New Roman" w:cs="Times New Roman"/>
          <w:sz w:val="16"/>
          <w:szCs w:val="16"/>
        </w:rPr>
      </w:pPr>
    </w:p>
    <w:p w14:paraId="1D705BD0" w14:textId="77777777" w:rsidR="007944D0" w:rsidRPr="007944D0" w:rsidRDefault="004B072F" w:rsidP="007944D0">
      <w:pPr>
        <w:pStyle w:val="Titre5"/>
        <w:spacing w:before="120"/>
        <w:rPr>
          <w:rFonts w:ascii="Times New Roman" w:hAnsi="Times New Roman"/>
          <w:b/>
          <w:color w:val="auto"/>
          <w:sz w:val="23"/>
          <w:szCs w:val="23"/>
        </w:rPr>
      </w:pPr>
      <w:r w:rsidRPr="00375101">
        <w:rPr>
          <w:rFonts w:ascii="Times New Roman" w:hAnsi="Times New Roman"/>
          <w:b/>
          <w:color w:val="auto"/>
        </w:rPr>
        <w:t>Graphique 4 : Evolution mensuelle des indices du transport et logement, eau, gaz, électricité et</w:t>
      </w:r>
      <w:r w:rsidRPr="00ED1B69">
        <w:rPr>
          <w:rFonts w:ascii="Times New Roman" w:hAnsi="Times New Roman"/>
          <w:b/>
          <w:color w:val="auto"/>
          <w:sz w:val="23"/>
          <w:szCs w:val="23"/>
        </w:rPr>
        <w:t xml:space="preserve"> autres </w:t>
      </w:r>
      <w:r w:rsidRPr="00375101">
        <w:rPr>
          <w:rFonts w:ascii="Times New Roman" w:hAnsi="Times New Roman"/>
          <w:b/>
          <w:color w:val="auto"/>
        </w:rPr>
        <w:t xml:space="preserve">combustibles </w:t>
      </w:r>
    </w:p>
    <w:p w14:paraId="7A7EF29B" w14:textId="0C61F4B4" w:rsidR="00C11150" w:rsidRPr="00C11150" w:rsidRDefault="00235D05" w:rsidP="004A7351">
      <w:pPr>
        <w:spacing w:after="160" w:line="259" w:lineRule="auto"/>
        <w:rPr>
          <w:rFonts w:ascii="Times New Roman" w:hAnsi="Times New Roman" w:cs="Times New Roman"/>
          <w:b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45EA6F26" wp14:editId="7480CDBE">
            <wp:extent cx="5753100" cy="2019300"/>
            <wp:effectExtent l="0" t="0" r="0" b="0"/>
            <wp:docPr id="6" name="Graphique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705C68">
        <w:rPr>
          <w:noProof/>
          <w:lang w:eastAsia="fr-FR"/>
        </w:rPr>
        <w:t xml:space="preserve"> </w:t>
      </w:r>
      <w:r w:rsidR="00EF468E" w:rsidRPr="0042781F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EF468E" w:rsidRPr="007A3FB9">
        <w:rPr>
          <w:rFonts w:ascii="Times New Roman" w:hAnsi="Times New Roman" w:cs="Times New Roman"/>
          <w:bCs/>
          <w:sz w:val="16"/>
          <w:szCs w:val="16"/>
          <w:u w:val="single"/>
        </w:rPr>
        <w:t> </w:t>
      </w:r>
      <w:r w:rsidR="00EF468E" w:rsidRPr="007A3FB9">
        <w:rPr>
          <w:rFonts w:ascii="Times New Roman" w:hAnsi="Times New Roman" w:cs="Times New Roman"/>
          <w:bCs/>
          <w:sz w:val="16"/>
          <w:szCs w:val="16"/>
        </w:rPr>
        <w:t xml:space="preserve">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732E1F6A" w14:textId="77777777" w:rsidR="004A7351" w:rsidRPr="00375101" w:rsidRDefault="007A45A1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lastRenderedPageBreak/>
        <w:t>Graphique</w:t>
      </w:r>
      <w:r w:rsidR="00C26A1D" w:rsidRPr="00375101">
        <w:rPr>
          <w:rFonts w:ascii="Times New Roman" w:hAnsi="Times New Roman"/>
          <w:b/>
          <w:color w:val="auto"/>
        </w:rPr>
        <w:t xml:space="preserve"> 5</w:t>
      </w:r>
      <w:r w:rsidR="003671B8" w:rsidRPr="00375101">
        <w:rPr>
          <w:rFonts w:ascii="Times New Roman" w:hAnsi="Times New Roman"/>
          <w:b/>
          <w:color w:val="auto"/>
        </w:rPr>
        <w:t> : Evolution mensuelle des indices des produits importés et locaux</w:t>
      </w:r>
    </w:p>
    <w:p w14:paraId="4B781021" w14:textId="211F674F" w:rsidR="00C11150" w:rsidRDefault="00235D05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  <w:r>
        <w:rPr>
          <w:noProof/>
          <w:lang w:eastAsia="fr-FR"/>
        </w:rPr>
        <w:drawing>
          <wp:inline distT="0" distB="0" distL="0" distR="0" wp14:anchorId="392D69FB" wp14:editId="0D1642DC">
            <wp:extent cx="5781675" cy="2143125"/>
            <wp:effectExtent l="0" t="0" r="9525" b="9525"/>
            <wp:docPr id="10" name="Graphique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>
        <w:rPr>
          <w:noProof/>
          <w:lang w:eastAsia="fr-FR"/>
        </w:rPr>
        <w:t xml:space="preserve"> </w:t>
      </w:r>
      <w:r w:rsidR="00500EA0">
        <w:rPr>
          <w:noProof/>
          <w:lang w:eastAsia="fr-FR"/>
        </w:rPr>
        <w:t xml:space="preserve"> </w:t>
      </w:r>
      <w:r w:rsidR="003671B8" w:rsidRPr="0042781F">
        <w:rPr>
          <w:rFonts w:ascii="Times New Roman" w:hAnsi="Times New Roman" w:cs="Times New Roman"/>
          <w:bCs/>
          <w:iCs/>
          <w:sz w:val="16"/>
          <w:szCs w:val="16"/>
          <w:u w:val="single"/>
        </w:rPr>
        <w:t>Source </w:t>
      </w:r>
      <w:r w:rsidR="003671B8" w:rsidRPr="0042781F">
        <w:rPr>
          <w:rFonts w:ascii="Times New Roman" w:hAnsi="Times New Roman" w:cs="Times New Roman"/>
          <w:b/>
          <w:bCs/>
          <w:iCs/>
          <w:sz w:val="16"/>
          <w:szCs w:val="16"/>
        </w:rPr>
        <w:t xml:space="preserve">: </w:t>
      </w:r>
      <w:r w:rsidR="008A3165">
        <w:rPr>
          <w:rFonts w:ascii="Times New Roman" w:hAnsi="Times New Roman" w:cs="Times New Roman"/>
          <w:bCs/>
          <w:i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i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iCs/>
          <w:sz w:val="16"/>
          <w:szCs w:val="16"/>
        </w:rPr>
        <w:t xml:space="preserve"> 2022</w:t>
      </w:r>
    </w:p>
    <w:p w14:paraId="4CCB1060" w14:textId="77777777" w:rsidR="00313846" w:rsidRPr="000F7B91" w:rsidRDefault="00313846" w:rsidP="00E72A3E">
      <w:pPr>
        <w:spacing w:after="160" w:line="259" w:lineRule="auto"/>
        <w:rPr>
          <w:rFonts w:ascii="Times New Roman" w:hAnsi="Times New Roman" w:cs="Times New Roman"/>
          <w:bCs/>
          <w:iCs/>
          <w:sz w:val="16"/>
          <w:szCs w:val="16"/>
        </w:rPr>
      </w:pPr>
    </w:p>
    <w:p w14:paraId="580FAE1C" w14:textId="412A2C5F" w:rsidR="009A1366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3</w:t>
      </w:r>
      <w:r w:rsidRPr="00375101">
        <w:rPr>
          <w:rFonts w:ascii="Times New Roman" w:hAnsi="Times New Roman"/>
          <w:b/>
          <w:color w:val="auto"/>
        </w:rPr>
        <w:t> : IHPC suivant les nomen</w:t>
      </w:r>
      <w:r w:rsidR="007A3FB9" w:rsidRPr="00375101">
        <w:rPr>
          <w:rFonts w:ascii="Times New Roman" w:hAnsi="Times New Roman"/>
          <w:b/>
          <w:color w:val="auto"/>
        </w:rPr>
        <w:t xml:space="preserve">clatures secondaires en </w:t>
      </w:r>
      <w:r w:rsidR="00556952">
        <w:rPr>
          <w:rFonts w:ascii="Times New Roman" w:hAnsi="Times New Roman"/>
          <w:b/>
          <w:color w:val="auto"/>
        </w:rPr>
        <w:t>décembre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p w14:paraId="09F516DA" w14:textId="77777777" w:rsidR="009E7F5C" w:rsidRPr="009E7F5C" w:rsidRDefault="009E7F5C" w:rsidP="009E7F5C"/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49"/>
        <w:gridCol w:w="658"/>
        <w:gridCol w:w="862"/>
        <w:gridCol w:w="777"/>
        <w:gridCol w:w="819"/>
        <w:gridCol w:w="862"/>
        <w:gridCol w:w="862"/>
        <w:gridCol w:w="643"/>
        <w:gridCol w:w="643"/>
        <w:gridCol w:w="776"/>
      </w:tblGrid>
      <w:tr w:rsidR="00445166" w:rsidRPr="004577D5" w14:paraId="72DEB90B" w14:textId="77777777" w:rsidTr="00D80608">
        <w:trPr>
          <w:trHeight w:val="317"/>
        </w:trPr>
        <w:tc>
          <w:tcPr>
            <w:tcW w:w="2649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</w:tcPr>
          <w:p w14:paraId="1FE8E129" w14:textId="77777777" w:rsidR="00445166" w:rsidRPr="004577D5" w:rsidRDefault="00445166" w:rsidP="00445166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</w:tcPr>
          <w:p w14:paraId="44129260" w14:textId="77777777" w:rsidR="00445166" w:rsidRPr="0080208F" w:rsidRDefault="00445166" w:rsidP="00445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82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5DD98DB2" w14:textId="13580BCC" w:rsidR="00445166" w:rsidRDefault="00445166" w:rsidP="00445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des mois de :</w:t>
            </w:r>
          </w:p>
        </w:tc>
        <w:tc>
          <w:tcPr>
            <w:tcW w:w="2062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14:paraId="0C45F543" w14:textId="33C95FDC" w:rsidR="00445166" w:rsidRPr="004577D5" w:rsidRDefault="00445166" w:rsidP="0044516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Variation depuis :</w:t>
            </w:r>
          </w:p>
        </w:tc>
      </w:tr>
      <w:tr w:rsidR="00313846" w:rsidRPr="004577D5" w14:paraId="6F65AB9E" w14:textId="77777777" w:rsidTr="00445166">
        <w:trPr>
          <w:trHeight w:val="317"/>
        </w:trPr>
        <w:tc>
          <w:tcPr>
            <w:tcW w:w="2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6C974621" w14:textId="77777777" w:rsidR="00BC6A63" w:rsidRPr="004577D5" w:rsidRDefault="00BC6A63" w:rsidP="00BC6A6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026A57A7" w14:textId="77777777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4B1584A" w14:textId="0B6847CC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déc.-21</w:t>
            </w:r>
          </w:p>
        </w:tc>
        <w:tc>
          <w:tcPr>
            <w:tcW w:w="77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294F8AF" w14:textId="06663ABE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81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8152E57" w14:textId="58A75DB5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862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F9F6E23" w14:textId="78C96F32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nov.-22</w:t>
            </w:r>
          </w:p>
        </w:tc>
        <w:tc>
          <w:tcPr>
            <w:tcW w:w="86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5106D7" w14:textId="5690409B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déc.-22</w:t>
            </w:r>
          </w:p>
        </w:tc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9801C94" w14:textId="77777777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6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2D535A0" w14:textId="77777777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58772F7D" w14:textId="77777777" w:rsidR="00BC6A63" w:rsidRPr="004577D5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9A0B73" w:rsidRPr="004577D5" w14:paraId="441413B9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5CB1B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global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FD8448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87DD9" w14:textId="74AD78D7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90B072" w14:textId="63F23747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CDCB3E" w14:textId="47D224A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7FB14D1" w14:textId="273D5B8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A632E" w14:textId="3A3C344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9B999A" w14:textId="5423ED7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608423" w14:textId="1C8E812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9E85D" w14:textId="0B82E5B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</w:tr>
      <w:tr w:rsidR="009A0B73" w:rsidRPr="004577D5" w14:paraId="3C12245C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5752D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frais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D186F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2279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8F5967" w14:textId="0C559E55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112,9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65A0A9" w14:textId="024A020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101,7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D11783" w14:textId="0A60ED8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108,7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E7FC532" w14:textId="74FC6A7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BCE961" w14:textId="61C5294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51FC63" w14:textId="562BB69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C4C4D1C" w14:textId="0999503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8,0%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3721A1" w14:textId="5B985215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-2,7%</w:t>
            </w:r>
          </w:p>
        </w:tc>
      </w:tr>
      <w:tr w:rsidR="009A0B73" w:rsidRPr="004577D5" w14:paraId="588BB62B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9B577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énergie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35A1D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1077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24FA1B" w14:textId="6023CD2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100,3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9BA30A" w14:textId="0FE4B50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CAB08B" w14:textId="42C8EB7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114,1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04E38C48" w14:textId="070ADC17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117,5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5A15" w14:textId="068EDDA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117,0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51ACC0" w14:textId="009B103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5D026A" w14:textId="0805FA38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14,1%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326CFA" w14:textId="507D03B5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16,7%</w:t>
            </w:r>
          </w:p>
        </w:tc>
      </w:tr>
      <w:tr w:rsidR="009A0B73" w:rsidRPr="004577D5" w14:paraId="2290BED6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87980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hors énergie, hors produits frais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9C9DD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6644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FD21" w14:textId="25AF1E58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107,7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D89D4D" w14:textId="10936148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108,5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17634D" w14:textId="230AEDF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54929A8" w14:textId="2989B91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00412" w14:textId="1A33455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110,9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13911EA" w14:textId="20165E2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70FCB8" w14:textId="0474C6E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2,2%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C2053" w14:textId="04FE733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2,9%</w:t>
            </w:r>
          </w:p>
        </w:tc>
      </w:tr>
      <w:tr w:rsidR="009A0B73" w:rsidRPr="009E7F5C" w14:paraId="2BE07FD6" w14:textId="77777777" w:rsidTr="00445166">
        <w:trPr>
          <w:trHeight w:val="173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5D170" w14:textId="77777777" w:rsidR="009A0B73" w:rsidRPr="009E7F5C" w:rsidRDefault="009A0B73" w:rsidP="00313846">
            <w:pPr>
              <w:rPr>
                <w:rFonts w:ascii="Times New Roman" w:hAnsi="Times New Roman" w:cs="Times New Roman"/>
                <w:color w:val="000000"/>
                <w:sz w:val="8"/>
                <w:szCs w:val="8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08A48" w14:textId="77777777" w:rsidR="009A0B73" w:rsidRPr="009E7F5C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8"/>
                <w:szCs w:val="8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75C8C5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3F486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E8930A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545DE915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3AD9C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8117D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F3BDC0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C36AAE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8"/>
                <w:szCs w:val="8"/>
              </w:rPr>
            </w:pPr>
          </w:p>
        </w:tc>
      </w:tr>
      <w:tr w:rsidR="009A0B73" w:rsidRPr="004577D5" w14:paraId="25C205AB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E94FA6D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primaire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457FE98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1870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ECEBC47" w14:textId="40C8064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C19A5F8" w14:textId="4E82D878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98,2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F00DB14" w14:textId="70F4180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EE1931E" w14:textId="670837B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D59B52" w14:textId="4F5AE98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105,6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3B4862F" w14:textId="7AEB0D6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-0,7%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F8C9A69" w14:textId="03CD10F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0C5FBF" w14:textId="5B34E6AE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-4,4%</w:t>
            </w:r>
          </w:p>
        </w:tc>
      </w:tr>
      <w:tr w:rsidR="009A0B73" w:rsidRPr="004577D5" w14:paraId="130DD4B8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F603E86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secondaire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A4B6682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5061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9A85C2C" w14:textId="07B1059E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AE4E0BF" w14:textId="5319B2A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98ED448" w14:textId="00C3F0E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116,0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772A048" w14:textId="72CA674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116,6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37BA0A2" w14:textId="31DE8E7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116,8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8CE1C59" w14:textId="7E635EA8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62276B1" w14:textId="5BC26557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6,5%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33067E0" w14:textId="3860B47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7,0%</w:t>
            </w:r>
          </w:p>
        </w:tc>
      </w:tr>
      <w:tr w:rsidR="009A0B73" w:rsidRPr="004577D5" w14:paraId="04EC13F6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4A6503E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secteur tertiaire (services)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61133E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3069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62C1E9E" w14:textId="67D8054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59F7F38" w14:textId="5FCDB70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2E06FCC" w14:textId="35BD0E8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72DA087" w14:textId="72758A7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C743675" w14:textId="7E65A158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159F10F" w14:textId="3AC129C5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2819C07" w14:textId="16F0C24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414B6846" w14:textId="1BA736E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</w:tr>
      <w:tr w:rsidR="009A0B73" w:rsidRPr="009E7F5C" w14:paraId="0D7F6361" w14:textId="77777777" w:rsidTr="00445166">
        <w:trPr>
          <w:trHeight w:val="159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C67644" w14:textId="77777777" w:rsidR="009A0B73" w:rsidRPr="009E7F5C" w:rsidRDefault="009A0B73" w:rsidP="00313846">
            <w:pPr>
              <w:rPr>
                <w:rFonts w:ascii="Times New Roman" w:hAnsi="Times New Roman" w:cs="Times New Roman"/>
                <w:color w:val="000000"/>
                <w:sz w:val="12"/>
                <w:szCs w:val="12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40DDC" w14:textId="77777777" w:rsidR="009A0B73" w:rsidRPr="009E7F5C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846DD7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769E6F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A8CD2F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7D45B23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95077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850BDB8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8B2989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C569FB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2"/>
                <w:szCs w:val="12"/>
              </w:rPr>
            </w:pPr>
          </w:p>
        </w:tc>
      </w:tr>
      <w:tr w:rsidR="009A0B73" w:rsidRPr="004577D5" w14:paraId="0DA754D4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14459F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importés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FDD40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2743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9796B8" w14:textId="6057CF3E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103,2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7E1312" w14:textId="28B1F4E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AE67B0" w14:textId="4BDC767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111,8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7CCCB615" w14:textId="5DC51B79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113,1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23A17" w14:textId="5917BD8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D2B64F0" w14:textId="3A855E4E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CC2A32" w14:textId="1FFB9E0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BA64A" w14:textId="3B3D257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10,0%</w:t>
            </w:r>
          </w:p>
        </w:tc>
      </w:tr>
      <w:tr w:rsidR="009A0B73" w:rsidRPr="004577D5" w14:paraId="3A83E3F0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6E0ABA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produits locaux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9E66E1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7257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DD6907" w14:textId="1CDC785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110,2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32096" w14:textId="6E12CDE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5FBD3" w14:textId="7B8FC46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B2AA59E" w14:textId="30C4894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109,9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1AD" w14:textId="1A9BEFA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01BBD89" w14:textId="4A211A3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3431BFD" w14:textId="0D43C93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4,5%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95B66A" w14:textId="5B879875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-0,4%</w:t>
            </w:r>
          </w:p>
        </w:tc>
      </w:tr>
      <w:tr w:rsidR="009A0B73" w:rsidRPr="009E7F5C" w14:paraId="0EB03A6E" w14:textId="77777777" w:rsidTr="00445166">
        <w:trPr>
          <w:trHeight w:val="116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CC4986" w14:textId="77777777" w:rsidR="009A0B73" w:rsidRPr="009E7F5C" w:rsidRDefault="009A0B73" w:rsidP="0031384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2D83A0" w14:textId="77777777" w:rsidR="009A0B73" w:rsidRPr="009E7F5C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1F8B56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311F89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939492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center"/>
            <w:hideMark/>
          </w:tcPr>
          <w:p w14:paraId="39B7A205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CF72C1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5724742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46D17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9FB73" w14:textId="77777777" w:rsidR="009A0B73" w:rsidRPr="009E7F5C" w:rsidRDefault="009A0B73" w:rsidP="00313846">
            <w:pPr>
              <w:jc w:val="right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9A0B73" w:rsidRPr="004577D5" w14:paraId="03EF24C9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9BE44A9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durables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35CD1CD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125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AE9671D" w14:textId="5BDECB4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105,3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7257B82" w14:textId="16047E5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3FFF801" w14:textId="4F7DA3B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DDA06AA" w14:textId="1435447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108,4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303EB2D3" w14:textId="54067FD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108,2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05F2749" w14:textId="1200DE0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D73052C" w14:textId="4B60E58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109A20F6" w14:textId="4DA966E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2,7%</w:t>
            </w:r>
          </w:p>
        </w:tc>
      </w:tr>
      <w:tr w:rsidR="009A0B73" w:rsidRPr="004577D5" w14:paraId="00C356B2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62D4F7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semi durables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290C612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628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70B7F2D" w14:textId="1DA8933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104,5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F1AA4A2" w14:textId="519F909C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C2AB90A" w14:textId="2A63E1F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E097478" w14:textId="1C8F944A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109,0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C61681" w14:textId="5757C77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95A36E5" w14:textId="4950C4B0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0,4%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64F8B579" w14:textId="386B780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3456CB55" w14:textId="4D39C03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4,8%</w:t>
            </w:r>
          </w:p>
        </w:tc>
      </w:tr>
      <w:tr w:rsidR="009A0B73" w:rsidRPr="004577D5" w14:paraId="094F5D6C" w14:textId="77777777" w:rsidTr="00445166">
        <w:trPr>
          <w:trHeight w:val="302"/>
        </w:trPr>
        <w:tc>
          <w:tcPr>
            <w:tcW w:w="26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0E1A3D5" w14:textId="77777777" w:rsidR="009A0B73" w:rsidRPr="004577D5" w:rsidRDefault="009A0B73" w:rsidP="00313846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Indice des biens non durables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5712EC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4877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67DC64B" w14:textId="76ADA8A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777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22D0DEE" w14:textId="7AFB42E1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57C1F68" w14:textId="3776BAB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113,6</w:t>
            </w:r>
          </w:p>
        </w:tc>
        <w:tc>
          <w:tcPr>
            <w:tcW w:w="862" w:type="dxa"/>
            <w:tcBorders>
              <w:top w:val="nil"/>
              <w:left w:val="nil"/>
              <w:bottom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5CD983F" w14:textId="19F729A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114,8</w:t>
            </w:r>
          </w:p>
        </w:tc>
        <w:tc>
          <w:tcPr>
            <w:tcW w:w="862" w:type="dxa"/>
            <w:tcBorders>
              <w:top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B5693F5" w14:textId="6B14A75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114,5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53770D7F" w14:textId="5A8E008E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-0,2%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194DA5C5" w14:textId="7A2B9EA2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7,7%</w:t>
            </w:r>
          </w:p>
        </w:tc>
        <w:tc>
          <w:tcPr>
            <w:tcW w:w="7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2DD27DE" w14:textId="007935B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3,4%</w:t>
            </w:r>
          </w:p>
        </w:tc>
      </w:tr>
      <w:tr w:rsidR="009A0B73" w:rsidRPr="004577D5" w14:paraId="2AEFE7D0" w14:textId="77777777" w:rsidTr="00445166">
        <w:trPr>
          <w:trHeight w:val="317"/>
        </w:trPr>
        <w:tc>
          <w:tcPr>
            <w:tcW w:w="2649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44BFAFAE" w14:textId="77777777" w:rsidR="009A0B73" w:rsidRPr="004577D5" w:rsidRDefault="009A0B73" w:rsidP="0031384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4577D5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Services</w:t>
            </w:r>
          </w:p>
        </w:tc>
        <w:tc>
          <w:tcPr>
            <w:tcW w:w="658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8C38FF0" w14:textId="77777777" w:rsidR="009A0B73" w:rsidRPr="00EE5E37" w:rsidRDefault="009A0B73" w:rsidP="00313846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EE5E37"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  <w:t>4370</w:t>
            </w:r>
          </w:p>
        </w:tc>
        <w:tc>
          <w:tcPr>
            <w:tcW w:w="86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5175A8FA" w14:textId="75B5E08F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77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29E060E7" w14:textId="62B13B89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106,1</w:t>
            </w:r>
          </w:p>
        </w:tc>
        <w:tc>
          <w:tcPr>
            <w:tcW w:w="819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FF24ED8" w14:textId="46B6D2F4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106,4</w:t>
            </w:r>
          </w:p>
        </w:tc>
        <w:tc>
          <w:tcPr>
            <w:tcW w:w="862" w:type="dxa"/>
            <w:tcBorders>
              <w:top w:val="nil"/>
              <w:left w:val="nil"/>
              <w:bottom w:val="double" w:sz="6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DC76E8A" w14:textId="7F9176C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107,3</w:t>
            </w:r>
          </w:p>
        </w:tc>
        <w:tc>
          <w:tcPr>
            <w:tcW w:w="862" w:type="dxa"/>
            <w:tcBorders>
              <w:top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6E87534" w14:textId="64C49F3D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107,5</w:t>
            </w:r>
          </w:p>
        </w:tc>
        <w:tc>
          <w:tcPr>
            <w:tcW w:w="643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EE53A43" w14:textId="1EE68A26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0,1%</w:t>
            </w:r>
          </w:p>
        </w:tc>
        <w:tc>
          <w:tcPr>
            <w:tcW w:w="643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AF8E52C" w14:textId="19F8F7B3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1,3%</w:t>
            </w:r>
          </w:p>
        </w:tc>
        <w:tc>
          <w:tcPr>
            <w:tcW w:w="776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97C91BE" w14:textId="549EC7BB" w:rsidR="009A0B73" w:rsidRPr="009A0B73" w:rsidRDefault="009A0B73" w:rsidP="00313846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1,5%</w:t>
            </w:r>
          </w:p>
        </w:tc>
      </w:tr>
    </w:tbl>
    <w:p w14:paraId="509CDC78" w14:textId="02CB734A" w:rsidR="003671B8" w:rsidRDefault="00612960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  <w:r w:rsidRPr="00612960">
        <w:rPr>
          <w:rFonts w:ascii="Times New Roman" w:hAnsi="Times New Roman" w:cs="Times New Roman"/>
          <w:bCs/>
          <w:sz w:val="16"/>
          <w:szCs w:val="16"/>
        </w:rPr>
        <w:t xml:space="preserve">                     </w:t>
      </w:r>
      <w:r w:rsidR="007A3FB9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B54150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2CC2D37E" w14:textId="77777777" w:rsidR="003E5187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493851D4" w14:textId="77777777" w:rsidR="003E5187" w:rsidRPr="00956DBD" w:rsidRDefault="003E5187" w:rsidP="00956DBD">
      <w:pPr>
        <w:ind w:left="-851"/>
        <w:rPr>
          <w:rFonts w:ascii="Times New Roman" w:hAnsi="Times New Roman" w:cs="Times New Roman"/>
          <w:bCs/>
          <w:sz w:val="16"/>
          <w:szCs w:val="16"/>
        </w:rPr>
      </w:pPr>
    </w:p>
    <w:p w14:paraId="10A80FAE" w14:textId="59C6F4F4" w:rsidR="009A1366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4</w:t>
      </w:r>
      <w:r w:rsidR="003671B8" w:rsidRPr="00375101">
        <w:rPr>
          <w:rFonts w:ascii="Times New Roman" w:hAnsi="Times New Roman"/>
          <w:b/>
          <w:color w:val="auto"/>
        </w:rPr>
        <w:t> : IHP</w:t>
      </w:r>
      <w:r w:rsidR="00EA37C7" w:rsidRPr="00375101">
        <w:rPr>
          <w:rFonts w:ascii="Times New Roman" w:hAnsi="Times New Roman"/>
          <w:b/>
          <w:color w:val="auto"/>
        </w:rPr>
        <w:t xml:space="preserve">C suivant les régions en </w:t>
      </w:r>
      <w:r w:rsidR="00556952">
        <w:rPr>
          <w:rFonts w:ascii="Times New Roman" w:hAnsi="Times New Roman"/>
          <w:b/>
          <w:color w:val="auto"/>
        </w:rPr>
        <w:t>décembre</w:t>
      </w:r>
      <w:r w:rsidR="0044033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960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1"/>
        <w:gridCol w:w="774"/>
        <w:gridCol w:w="930"/>
        <w:gridCol w:w="935"/>
        <w:gridCol w:w="935"/>
        <w:gridCol w:w="930"/>
        <w:gridCol w:w="933"/>
        <w:gridCol w:w="832"/>
        <w:gridCol w:w="831"/>
        <w:gridCol w:w="835"/>
      </w:tblGrid>
      <w:tr w:rsidR="000A1943" w:rsidRPr="0080208F" w14:paraId="47DD16FB" w14:textId="77777777" w:rsidTr="009E7F5C">
        <w:trPr>
          <w:trHeight w:val="339"/>
        </w:trPr>
        <w:tc>
          <w:tcPr>
            <w:tcW w:w="1671" w:type="dxa"/>
            <w:vMerge w:val="restart"/>
            <w:tcBorders>
              <w:top w:val="double" w:sz="6" w:space="0" w:color="auto"/>
              <w:left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A6E3BA3" w14:textId="273EB26C" w:rsidR="000A1943" w:rsidRPr="0080208F" w:rsidRDefault="000A1943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74" w:type="dxa"/>
            <w:vMerge w:val="restart"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11F2A340" w14:textId="77777777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Poids</w:t>
            </w:r>
          </w:p>
        </w:tc>
        <w:tc>
          <w:tcPr>
            <w:tcW w:w="4663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246D8938" w14:textId="77777777" w:rsidR="000A1943" w:rsidRPr="000A1943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des mois de :</w:t>
            </w:r>
          </w:p>
        </w:tc>
        <w:tc>
          <w:tcPr>
            <w:tcW w:w="2498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center"/>
            <w:hideMark/>
          </w:tcPr>
          <w:p w14:paraId="19360150" w14:textId="77777777" w:rsidR="000A1943" w:rsidRPr="000A1943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0A194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Variation depuis :</w:t>
            </w:r>
          </w:p>
        </w:tc>
      </w:tr>
      <w:tr w:rsidR="000A1943" w:rsidRPr="0080208F" w14:paraId="1497EC46" w14:textId="77777777" w:rsidTr="009E7F5C">
        <w:trPr>
          <w:trHeight w:val="360"/>
        </w:trPr>
        <w:tc>
          <w:tcPr>
            <w:tcW w:w="167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hideMark/>
          </w:tcPr>
          <w:p w14:paraId="07C76883" w14:textId="656273E2" w:rsidR="000A1943" w:rsidRPr="0080208F" w:rsidRDefault="000A1943" w:rsidP="003671B8">
            <w:pPr>
              <w:rPr>
                <w:rFonts w:ascii="Times New Roman" w:hAnsi="Times New Roman" w:cs="Times New Roman"/>
                <w:sz w:val="18"/>
                <w:szCs w:val="18"/>
                <w:highlight w:val="cyan"/>
              </w:rPr>
            </w:pPr>
          </w:p>
        </w:tc>
        <w:tc>
          <w:tcPr>
            <w:tcW w:w="774" w:type="dxa"/>
            <w:vMerge/>
            <w:tcBorders>
              <w:top w:val="double" w:sz="6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8012E74" w14:textId="77777777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305FC8D8" w14:textId="673E1721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déc.-21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65A8E2DA" w14:textId="6FF36158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sept.-22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1B13C3FA" w14:textId="30EF8E51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1384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oct.-22</w:t>
            </w:r>
          </w:p>
        </w:tc>
        <w:tc>
          <w:tcPr>
            <w:tcW w:w="9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60520E2F" w14:textId="6E7541F3" w:rsidR="000A1943" w:rsidRPr="004577D5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nov.-22</w:t>
            </w:r>
          </w:p>
        </w:tc>
        <w:tc>
          <w:tcPr>
            <w:tcW w:w="93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6F6FC09" w14:textId="2D99AB7A" w:rsidR="000A1943" w:rsidRPr="004577D5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déc.-22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0C2FD2BE" w14:textId="77777777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mois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center"/>
            <w:hideMark/>
          </w:tcPr>
          <w:p w14:paraId="21B484F6" w14:textId="77777777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mois</w:t>
            </w:r>
          </w:p>
        </w:tc>
        <w:tc>
          <w:tcPr>
            <w:tcW w:w="8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center"/>
            <w:hideMark/>
          </w:tcPr>
          <w:p w14:paraId="255DA537" w14:textId="77777777" w:rsidR="000A1943" w:rsidRPr="0080208F" w:rsidRDefault="000A194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 mois</w:t>
            </w:r>
          </w:p>
        </w:tc>
      </w:tr>
      <w:tr w:rsidR="000A1943" w:rsidRPr="0080208F" w14:paraId="51C6D815" w14:textId="77777777" w:rsidTr="000A194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1EB195" w14:textId="77777777" w:rsidR="009A0B73" w:rsidRPr="0080208F" w:rsidRDefault="009A0B73" w:rsidP="009A0B73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INDICE GLOBAL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8F7E30" w14:textId="77777777" w:rsidR="009A0B73" w:rsidRPr="0080208F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E8E835" w14:textId="6A81816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20FAE5" w14:textId="07203A8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105,9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45DB2A" w14:textId="265C637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F5A809" w14:textId="0D5D8D0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110,5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3C2994" w14:textId="3AF3D3A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110,8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913D11A" w14:textId="78480C0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849D772" w14:textId="0374824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4,6%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AF3C7" w14:textId="01AA896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2,8%</w:t>
            </w:r>
          </w:p>
        </w:tc>
      </w:tr>
      <w:tr w:rsidR="000A1943" w:rsidRPr="0080208F" w14:paraId="1CF7F607" w14:textId="77777777" w:rsidTr="000A194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545C7FB6" w14:textId="77777777" w:rsidR="009A0B73" w:rsidRPr="0080208F" w:rsidRDefault="009A0B73" w:rsidP="009A0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 Sud-O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B9C3A09" w14:textId="77777777" w:rsidR="009A0B73" w:rsidRPr="0080208F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36B7211" w14:textId="2F5E9333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3C03C753" w14:textId="2D5C191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8028A20" w14:textId="26250F9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110,7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1479D8B3" w14:textId="3E6913C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17B143C" w14:textId="06B6F7B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111,5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9C40709" w14:textId="0C3FEA4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0,2%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404E9174" w14:textId="44E99FC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5,2%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212ED6ED" w14:textId="770D683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2,0%</w:t>
            </w:r>
          </w:p>
        </w:tc>
      </w:tr>
      <w:tr w:rsidR="000A1943" w:rsidRPr="0080208F" w14:paraId="6D861B83" w14:textId="77777777" w:rsidTr="000A194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6194C" w14:textId="77777777" w:rsidR="009A0B73" w:rsidRPr="0080208F" w:rsidRDefault="009A0B73" w:rsidP="009A0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 Sud-E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255FA3" w14:textId="77777777" w:rsidR="009A0B73" w:rsidRPr="0080208F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D2C0C2" w14:textId="3F882AE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39DCCB" w14:textId="1FC7313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106,2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83D93" w14:textId="50324A6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108,6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F048D" w14:textId="4D2D02FD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1E4806" w14:textId="567C9F0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109,7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9BDEDDD" w14:textId="602D229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-0,1%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5B0F66" w14:textId="61063FB9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3,3%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6AAD45" w14:textId="4E2D2C4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3,2%</w:t>
            </w:r>
          </w:p>
        </w:tc>
      </w:tr>
      <w:tr w:rsidR="000A1943" w:rsidRPr="0080208F" w14:paraId="1B9B1B9F" w14:textId="77777777" w:rsidTr="000A194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4CDA5C90" w14:textId="77777777" w:rsidR="009A0B73" w:rsidRPr="0080208F" w:rsidRDefault="009A0B73" w:rsidP="009A0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3. Centre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01DD069" w14:textId="77777777" w:rsidR="009A0B73" w:rsidRPr="0080208F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2D12CA7" w14:textId="2E2F84A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107,1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6DAADAB5" w14:textId="6F437E9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102,8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E953C00" w14:textId="6E55B0F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104,0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E2BBBB8" w14:textId="11828E3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106,3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7ECD5503" w14:textId="18FB6B3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106,6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264345C2" w14:textId="222D18E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7DD7EC14" w14:textId="0F8B218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3,7%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5F88BBD7" w14:textId="6715DBA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-0,5%</w:t>
            </w:r>
          </w:p>
        </w:tc>
      </w:tr>
      <w:tr w:rsidR="000A1943" w:rsidRPr="0080208F" w14:paraId="0646E147" w14:textId="77777777" w:rsidTr="000A1943">
        <w:trPr>
          <w:trHeight w:val="323"/>
        </w:trPr>
        <w:tc>
          <w:tcPr>
            <w:tcW w:w="167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7F678C" w14:textId="77777777" w:rsidR="009A0B73" w:rsidRPr="0080208F" w:rsidRDefault="009A0B73" w:rsidP="009A0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 Nord-E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B435F5" w14:textId="77777777" w:rsidR="009A0B73" w:rsidRPr="0080208F" w:rsidRDefault="009A0B73" w:rsidP="000A1943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86D883" w14:textId="3B07448E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110,0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2CF1A2" w14:textId="76DC0497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115,5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3E97BE" w14:textId="7BCDF27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119,6</w:t>
            </w: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4FF6DD" w14:textId="5DA10E21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119,8</w:t>
            </w:r>
          </w:p>
        </w:tc>
        <w:tc>
          <w:tcPr>
            <w:tcW w:w="9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67E3" w14:textId="74EACD0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120,1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41CA6" w14:textId="0BBFF15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0,3%</w:t>
            </w:r>
          </w:p>
        </w:tc>
        <w:tc>
          <w:tcPr>
            <w:tcW w:w="8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0EBD416" w14:textId="322ABB2B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4,0%</w:t>
            </w:r>
          </w:p>
        </w:tc>
        <w:tc>
          <w:tcPr>
            <w:tcW w:w="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342A47" w14:textId="4101680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9,2%</w:t>
            </w:r>
          </w:p>
        </w:tc>
      </w:tr>
      <w:tr w:rsidR="000A1943" w:rsidRPr="0080208F" w14:paraId="7474F9F4" w14:textId="77777777" w:rsidTr="000A1943">
        <w:trPr>
          <w:trHeight w:val="339"/>
        </w:trPr>
        <w:tc>
          <w:tcPr>
            <w:tcW w:w="1671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bottom"/>
            <w:hideMark/>
          </w:tcPr>
          <w:p w14:paraId="683D2174" w14:textId="77777777" w:rsidR="009A0B73" w:rsidRPr="0080208F" w:rsidRDefault="009A0B73" w:rsidP="009A0B7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 Nord-O</w:t>
            </w:r>
            <w:r w:rsidRPr="0080208F">
              <w:rPr>
                <w:rFonts w:ascii="Times New Roman" w:hAnsi="Times New Roman" w:cs="Times New Roman"/>
                <w:sz w:val="18"/>
                <w:szCs w:val="18"/>
              </w:rPr>
              <w:t>uest</w:t>
            </w:r>
          </w:p>
        </w:tc>
        <w:tc>
          <w:tcPr>
            <w:tcW w:w="77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0C3955FB" w14:textId="77777777" w:rsidR="009A0B73" w:rsidRPr="0080208F" w:rsidRDefault="009A0B73" w:rsidP="000A1943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0208F">
              <w:rPr>
                <w:rFonts w:ascii="Times New Roman" w:hAnsi="Times New Roman"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930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0EA434CF" w14:textId="0D678E40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99,9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C8AACA2" w14:textId="2CAA1985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99,6</w:t>
            </w:r>
          </w:p>
        </w:tc>
        <w:tc>
          <w:tcPr>
            <w:tcW w:w="935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7F0DAEF8" w14:textId="1FE4E242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102,4</w:t>
            </w:r>
          </w:p>
        </w:tc>
        <w:tc>
          <w:tcPr>
            <w:tcW w:w="93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noWrap/>
            <w:vAlign w:val="center"/>
            <w:hideMark/>
          </w:tcPr>
          <w:p w14:paraId="4AFE646B" w14:textId="7337DF2F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93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1C5F2E52" w14:textId="02D8C7AA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104,3</w:t>
            </w:r>
          </w:p>
        </w:tc>
        <w:tc>
          <w:tcPr>
            <w:tcW w:w="832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A80C447" w14:textId="6273CAF6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1,6%</w:t>
            </w:r>
          </w:p>
        </w:tc>
        <w:tc>
          <w:tcPr>
            <w:tcW w:w="831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DEEAF6" w:themeFill="accent1" w:themeFillTint="33"/>
            <w:vAlign w:val="center"/>
            <w:hideMark/>
          </w:tcPr>
          <w:p w14:paraId="08F68C06" w14:textId="5F287798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4,7%</w:t>
            </w:r>
          </w:p>
        </w:tc>
        <w:tc>
          <w:tcPr>
            <w:tcW w:w="835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DEEAF6" w:themeFill="accent1" w:themeFillTint="33"/>
            <w:vAlign w:val="center"/>
            <w:hideMark/>
          </w:tcPr>
          <w:p w14:paraId="75666671" w14:textId="214A7454" w:rsidR="009A0B73" w:rsidRPr="009A0B73" w:rsidRDefault="009A0B73" w:rsidP="000A1943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A0B73">
              <w:rPr>
                <w:rFonts w:ascii="Times New Roman" w:hAnsi="Times New Roman" w:cs="Times New Roman"/>
                <w:sz w:val="18"/>
                <w:szCs w:val="18"/>
              </w:rPr>
              <w:t>4,4%</w:t>
            </w:r>
          </w:p>
        </w:tc>
      </w:tr>
    </w:tbl>
    <w:p w14:paraId="7449ED9E" w14:textId="2E4DDD5D" w:rsidR="003E5187" w:rsidRDefault="00956DBD" w:rsidP="00D80FC0">
      <w:pPr>
        <w:rPr>
          <w:rFonts w:ascii="Times New Roman" w:hAnsi="Times New Roman" w:cs="Times New Roman"/>
          <w:bCs/>
          <w:sz w:val="16"/>
          <w:szCs w:val="16"/>
        </w:rPr>
      </w:pPr>
      <w:r w:rsidRPr="00956DBD">
        <w:rPr>
          <w:rFonts w:ascii="Times New Roman" w:hAnsi="Times New Roman" w:cs="Times New Roman"/>
          <w:bCs/>
          <w:sz w:val="16"/>
          <w:szCs w:val="16"/>
        </w:rPr>
        <w:t xml:space="preserve">  </w:t>
      </w:r>
      <w:r w:rsidR="003671B8" w:rsidRPr="00583FBC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37A0149B" w14:textId="77777777" w:rsidR="000C3B65" w:rsidRDefault="000C3B65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A8443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794CD2AE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133B56F9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66844860" w14:textId="77777777" w:rsidR="003B4A37" w:rsidRDefault="003B4A37" w:rsidP="00D80FC0">
      <w:pPr>
        <w:rPr>
          <w:rFonts w:ascii="Times New Roman" w:hAnsi="Times New Roman" w:cs="Times New Roman"/>
          <w:bCs/>
          <w:sz w:val="16"/>
          <w:szCs w:val="16"/>
        </w:rPr>
      </w:pPr>
    </w:p>
    <w:p w14:paraId="532DCDDE" w14:textId="3C5976AC" w:rsidR="003671B8" w:rsidRPr="00375101" w:rsidRDefault="003671B8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 w:rsidRPr="00375101">
        <w:rPr>
          <w:rFonts w:ascii="Times New Roman" w:hAnsi="Times New Roman"/>
          <w:b/>
          <w:color w:val="auto"/>
        </w:rPr>
        <w:t xml:space="preserve">Tableau </w:t>
      </w:r>
      <w:r w:rsidR="008D3CC5">
        <w:rPr>
          <w:rFonts w:ascii="Times New Roman" w:hAnsi="Times New Roman"/>
          <w:b/>
          <w:color w:val="auto"/>
        </w:rPr>
        <w:t>5</w:t>
      </w:r>
      <w:r w:rsidRPr="00375101">
        <w:rPr>
          <w:rFonts w:ascii="Times New Roman" w:hAnsi="Times New Roman"/>
          <w:b/>
          <w:color w:val="auto"/>
        </w:rPr>
        <w:t xml:space="preserve"> : Prix moyens (en F.CFA) de certains produits de première nécessité dans </w:t>
      </w:r>
      <w:r w:rsidR="00EA37C7" w:rsidRPr="00375101">
        <w:rPr>
          <w:rFonts w:ascii="Times New Roman" w:hAnsi="Times New Roman"/>
          <w:b/>
          <w:color w:val="auto"/>
        </w:rPr>
        <w:t xml:space="preserve">les grandes villes </w:t>
      </w:r>
      <w:r w:rsidR="00786516">
        <w:rPr>
          <w:rFonts w:ascii="Times New Roman" w:hAnsi="Times New Roman"/>
          <w:b/>
          <w:color w:val="auto"/>
        </w:rPr>
        <w:t xml:space="preserve">  </w:t>
      </w:r>
      <w:r w:rsidR="00EA37C7" w:rsidRPr="00375101">
        <w:rPr>
          <w:rFonts w:ascii="Times New Roman" w:hAnsi="Times New Roman"/>
          <w:b/>
          <w:color w:val="auto"/>
        </w:rPr>
        <w:t xml:space="preserve">en </w:t>
      </w:r>
      <w:r w:rsidR="00556952">
        <w:rPr>
          <w:rFonts w:ascii="Times New Roman" w:hAnsi="Times New Roman"/>
          <w:b/>
          <w:color w:val="auto"/>
        </w:rPr>
        <w:t>décembre</w:t>
      </w:r>
      <w:r w:rsidRPr="00375101">
        <w:rPr>
          <w:rFonts w:ascii="Times New Roman" w:hAnsi="Times New Roman"/>
          <w:b/>
          <w:color w:val="auto"/>
        </w:rPr>
        <w:t xml:space="preserve"> 202</w:t>
      </w:r>
      <w:r w:rsidR="00694FB2" w:rsidRPr="00375101">
        <w:rPr>
          <w:rFonts w:ascii="Times New Roman" w:hAnsi="Times New Roman"/>
          <w:b/>
          <w:color w:val="auto"/>
        </w:rPr>
        <w:t>2</w:t>
      </w:r>
    </w:p>
    <w:tbl>
      <w:tblPr>
        <w:tblW w:w="10393" w:type="dxa"/>
        <w:tblInd w:w="-38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35"/>
        <w:gridCol w:w="992"/>
        <w:gridCol w:w="992"/>
        <w:gridCol w:w="1011"/>
        <w:gridCol w:w="992"/>
        <w:gridCol w:w="910"/>
        <w:gridCol w:w="991"/>
        <w:gridCol w:w="970"/>
      </w:tblGrid>
      <w:tr w:rsidR="003671B8" w:rsidRPr="0058147B" w14:paraId="06CD0339" w14:textId="77777777" w:rsidTr="009E7F5C">
        <w:trPr>
          <w:trHeight w:val="375"/>
        </w:trPr>
        <w:tc>
          <w:tcPr>
            <w:tcW w:w="353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1F3FA713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Produits</w:t>
            </w:r>
          </w:p>
        </w:tc>
        <w:tc>
          <w:tcPr>
            <w:tcW w:w="5888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7F94D2E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Les principales villes</w:t>
            </w:r>
          </w:p>
        </w:tc>
        <w:tc>
          <w:tcPr>
            <w:tcW w:w="97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bottom"/>
            <w:hideMark/>
          </w:tcPr>
          <w:p w14:paraId="6212D046" w14:textId="77777777" w:rsidR="003671B8" w:rsidRPr="0058147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 xml:space="preserve">Prix moyen </w:t>
            </w:r>
          </w:p>
        </w:tc>
      </w:tr>
      <w:tr w:rsidR="003671B8" w:rsidRPr="0058147B" w14:paraId="7586BD80" w14:textId="77777777" w:rsidTr="009E7F5C">
        <w:trPr>
          <w:trHeight w:val="585"/>
        </w:trPr>
        <w:tc>
          <w:tcPr>
            <w:tcW w:w="353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2014381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05875C4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Cotonou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34EB8395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Porto-Novo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4A23C4A9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Parakou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593C544F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Natitingou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A7B32D0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bookmarkStart w:id="1" w:name="RANGE!F5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Bohicon</w:t>
            </w:r>
            <w:bookmarkEnd w:id="1"/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635946C7" w14:textId="77777777" w:rsidR="003671B8" w:rsidRPr="0058147B" w:rsidRDefault="003671B8" w:rsidP="003671B8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Lokossa</w:t>
            </w:r>
          </w:p>
        </w:tc>
        <w:tc>
          <w:tcPr>
            <w:tcW w:w="97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14:paraId="72FD2BD0" w14:textId="77777777" w:rsidR="003671B8" w:rsidRPr="0058147B" w:rsidRDefault="003671B8" w:rsidP="003671B8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802AB" w:rsidRPr="0058147B" w14:paraId="485D5490" w14:textId="77777777" w:rsidTr="00A4572E">
        <w:trPr>
          <w:trHeight w:val="13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D20C9EA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Maïs séchés en grains vendus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EEFDEE" w14:textId="0085089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909131" w14:textId="72BBE52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D6D9" w14:textId="7C879B4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518B3" w14:textId="77E6D76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316B04" w14:textId="0DAEEA3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174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E31FB7" w14:textId="251C2AA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449037" w14:textId="54E6B01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222</w:t>
            </w:r>
          </w:p>
        </w:tc>
      </w:tr>
      <w:tr w:rsidR="005802AB" w:rsidRPr="0058147B" w14:paraId="57A2B2F1" w14:textId="77777777" w:rsidTr="00A4572E">
        <w:trPr>
          <w:trHeight w:val="19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F81F633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en grains longs vendu au détail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CECCDA" w14:textId="2EA1256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CE97" w14:textId="2C70725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235963" w14:textId="16D1CD9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28FF56" w14:textId="027B08D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497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84DF3" w14:textId="40B5ACF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478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333699" w14:textId="32BD114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C264D2" w14:textId="32CC674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530</w:t>
            </w:r>
          </w:p>
        </w:tc>
      </w:tr>
      <w:tr w:rsidR="005802AB" w:rsidRPr="0058147B" w14:paraId="63288365" w14:textId="77777777" w:rsidTr="00A4572E">
        <w:trPr>
          <w:trHeight w:val="24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7B79B8C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Sorgho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D71516" w14:textId="06890D5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50D4EB" w14:textId="6AFF29F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482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512CF" w14:textId="4A1DAE0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F8E6E" w14:textId="5CF57B3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275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F7D5EC" w14:textId="1383D8A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D68EE9" w14:textId="7952FEC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549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541C2" w14:textId="4FB17CD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417</w:t>
            </w:r>
          </w:p>
        </w:tc>
      </w:tr>
      <w:tr w:rsidR="005802AB" w:rsidRPr="0058147B" w14:paraId="62653399" w14:textId="77777777" w:rsidTr="00A4572E">
        <w:trPr>
          <w:trHeight w:val="27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445A451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Mil  (1KG)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BD7D1D" w14:textId="5C4739C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757229" w14:textId="5CD0C16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574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A98AAD" w14:textId="29C7C7E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9EB61" w14:textId="4829889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345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07F4F4" w14:textId="63F9969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4D1346" w14:textId="18E7617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E94E15" w14:textId="1EAB5C8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507</w:t>
            </w:r>
          </w:p>
        </w:tc>
      </w:tr>
      <w:tr w:rsidR="005802AB" w:rsidRPr="0058147B" w14:paraId="126B4963" w14:textId="77777777" w:rsidTr="00A4572E">
        <w:trPr>
          <w:trHeight w:val="262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7968B8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Gari 2ème qualité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34983" w14:textId="74FEE14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80B4C" w14:textId="5119286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761AE2" w14:textId="52B7799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F21364" w14:textId="7C2A6F4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480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DE9B26" w14:textId="0CFC1C9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212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F2E702" w14:textId="6E0D6E2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281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950847" w14:textId="0481F54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324</w:t>
            </w:r>
          </w:p>
        </w:tc>
      </w:tr>
      <w:tr w:rsidR="005802AB" w:rsidRPr="0058147B" w14:paraId="4BAD058C" w14:textId="77777777" w:rsidTr="00A4572E">
        <w:trPr>
          <w:trHeight w:val="26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8EB1A48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Sucre raffiné en poudre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5C024A" w14:textId="3C8974F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D0AB53" w14:textId="4899882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94BD8" w14:textId="7485ED2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F7C40" w14:textId="49BC531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7E9AD6" w14:textId="42392EE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588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06D9B0" w14:textId="20ADD0B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D9F587" w14:textId="710C00F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590</w:t>
            </w:r>
          </w:p>
        </w:tc>
      </w:tr>
      <w:tr w:rsidR="005802AB" w:rsidRPr="0058147B" w14:paraId="09AA1464" w14:textId="77777777" w:rsidTr="00A4572E">
        <w:trPr>
          <w:trHeight w:val="25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7BAACF7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Haricot blanc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6927" w14:textId="7E9CFCA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0ECCF" w14:textId="20619BB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638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B9B3C4" w14:textId="725B621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3235A1" w14:textId="665D434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604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029A5" w14:textId="15EBF4D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A75B6" w14:textId="789D81D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810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D287A1" w14:textId="4BCB597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683</w:t>
            </w:r>
          </w:p>
        </w:tc>
      </w:tr>
      <w:tr w:rsidR="005802AB" w:rsidRPr="0058147B" w14:paraId="4B092E08" w14:textId="77777777" w:rsidTr="00A4572E">
        <w:trPr>
          <w:trHeight w:val="27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CDCFF31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Ignames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6E3DA" w14:textId="7C1CE10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CFEEFF" w14:textId="4A42D50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451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08D71" w14:textId="3963EFD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0F1BF6" w14:textId="4EAA66F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156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0AC7F" w14:textId="154D1F5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241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D64EFE" w14:textId="07A4567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403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A12B5C" w14:textId="1DBE0EC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309</w:t>
            </w:r>
          </w:p>
        </w:tc>
      </w:tr>
      <w:tr w:rsidR="005802AB" w:rsidRPr="0058147B" w14:paraId="754ACF07" w14:textId="77777777" w:rsidTr="00A4572E">
        <w:trPr>
          <w:trHeight w:val="26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A37B8EE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Tomate fraiche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BE5C01" w14:textId="6709194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287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DC4829" w14:textId="5D7D82B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334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C936C4" w14:textId="0FBDF90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382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46F04B" w14:textId="63AB4BE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435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7D4717" w14:textId="0D9F3B6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1CE8AB" w14:textId="7578698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225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69B25" w14:textId="78D2E1E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314</w:t>
            </w:r>
          </w:p>
        </w:tc>
      </w:tr>
      <w:tr w:rsidR="005802AB" w:rsidRPr="0058147B" w14:paraId="184EEE7B" w14:textId="77777777" w:rsidTr="00A4572E">
        <w:trPr>
          <w:trHeight w:val="25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1F531A8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Piment frais  au kg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7EEC72" w14:textId="7825B5B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641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41B945" w14:textId="435C269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606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D361B" w14:textId="1282F78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C15977" w14:textId="799DAB4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911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91F1CA" w14:textId="09E6E15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F597C5" w14:textId="682FFDD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536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CC1BB0" w14:textId="1C753E6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657</w:t>
            </w:r>
          </w:p>
        </w:tc>
      </w:tr>
      <w:tr w:rsidR="005802AB" w:rsidRPr="0058147B" w14:paraId="073DB143" w14:textId="77777777" w:rsidTr="00A4572E">
        <w:trPr>
          <w:trHeight w:val="25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71F995C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Oignon frais rond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4B2C80" w14:textId="2EECE5E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953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6E852" w14:textId="1D3A422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880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3B3FA6" w14:textId="4F6CD4E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663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059414" w14:textId="00663A8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718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0E95C3" w14:textId="56950E6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943327" w14:textId="12F809C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B4CCA" w14:textId="6437246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774</w:t>
            </w:r>
          </w:p>
        </w:tc>
      </w:tr>
      <w:tr w:rsidR="005802AB" w:rsidRPr="0058147B" w14:paraId="71B00B03" w14:textId="77777777" w:rsidTr="00A4572E">
        <w:trPr>
          <w:trHeight w:val="2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4C5FC94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d'arachide artisanale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9E2C" w14:textId="4EF1601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C0BE" w14:textId="1BB7781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1E3328" w14:textId="25D9DA7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9D625F" w14:textId="5EE177E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D38C03" w14:textId="56077DE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F1D18" w14:textId="0B73AFD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1 375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FBD890" w14:textId="26F771B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1 501</w:t>
            </w:r>
          </w:p>
        </w:tc>
      </w:tr>
      <w:tr w:rsidR="005802AB" w:rsidRPr="0058147B" w14:paraId="1F6F6A58" w14:textId="77777777" w:rsidTr="00A4572E">
        <w:trPr>
          <w:trHeight w:val="26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9A3784A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Huile de Palme non raffinée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4A6EA5" w14:textId="0C319BA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39FE2" w14:textId="7E6AA8C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99892D" w14:textId="206E585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3068A6" w14:textId="5458E5C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B9853" w14:textId="75A3838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F70D5" w14:textId="5754586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187C90" w14:textId="5370A04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1 000</w:t>
            </w:r>
          </w:p>
        </w:tc>
      </w:tr>
      <w:tr w:rsidR="005802AB" w:rsidRPr="0058147B" w14:paraId="35D79968" w14:textId="77777777" w:rsidTr="00A4572E">
        <w:trPr>
          <w:trHeight w:val="25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04F7721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Pétrole lampant vendu en vrac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9F990" w14:textId="0120E17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07FB94" w14:textId="5E1EA66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B36AE" w14:textId="22FDD7A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7D89DB" w14:textId="0991EA9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E4576" w14:textId="05C2EEB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1 133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5BB4D4" w14:textId="54629DB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5179C" w14:textId="3BB04E6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1 117</w:t>
            </w:r>
          </w:p>
        </w:tc>
      </w:tr>
      <w:tr w:rsidR="005802AB" w:rsidRPr="0058147B" w14:paraId="7BAEA65C" w14:textId="77777777" w:rsidTr="00A4572E">
        <w:trPr>
          <w:trHeight w:val="27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B250D8A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Essence 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Kpayo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(1 L)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852A0B" w14:textId="566629A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498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AAC9B4" w14:textId="182416A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325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8D2D5" w14:textId="35AB70E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8D2A6B" w14:textId="270A3D0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546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11A12" w14:textId="38B5306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71FE27" w14:textId="350D7E9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513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30014B" w14:textId="659201E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467</w:t>
            </w:r>
          </w:p>
        </w:tc>
      </w:tr>
      <w:tr w:rsidR="005802AB" w:rsidRPr="0058147B" w14:paraId="0EA73F18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6310B09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(6Kg)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13C99" w14:textId="70EAF22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FE9BD0" w14:textId="4D43FDD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AC596C" w14:textId="6EB0B24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5 157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EF5C6D" w14:textId="48FA3F7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B9936C" w14:textId="0B5F711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4 770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595732" w14:textId="74EB2D1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4 800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30583" w14:textId="09AC493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4 933</w:t>
            </w:r>
          </w:p>
        </w:tc>
      </w:tr>
      <w:tr w:rsidR="005802AB" w:rsidRPr="0058147B" w14:paraId="5595C9C3" w14:textId="77777777" w:rsidTr="00A4572E">
        <w:trPr>
          <w:trHeight w:val="15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2C40A7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Gaz domestique (12,5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924B4" w14:textId="2DEC314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C1E5A8" w14:textId="7F6D649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10 127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9436D2" w14:textId="50E8703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10 313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7F97E" w14:textId="4455B62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9 938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FB437E" w14:textId="476D6F4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9 940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59281E" w14:textId="0B073B4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9 950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64DD97" w14:textId="65C7D22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10 095</w:t>
            </w:r>
          </w:p>
        </w:tc>
      </w:tr>
      <w:tr w:rsidR="005802AB" w:rsidRPr="0058147B" w14:paraId="4BB20850" w14:textId="77777777" w:rsidTr="00A4572E">
        <w:trPr>
          <w:trHeight w:val="21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6A2ADC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Chinchard congelé  (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Silvi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FB1EC6" w14:textId="7191839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1 600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D87EA7" w14:textId="142E680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1 233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7F95B9" w14:textId="36550B4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9FB7DF" w14:textId="3B4AB87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5D9B70" w14:textId="73DF39E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0DEB8" w14:textId="70ED635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1 567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0D1A2E" w14:textId="485AA60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1 467</w:t>
            </w:r>
          </w:p>
        </w:tc>
      </w:tr>
      <w:tr w:rsidR="005802AB" w:rsidRPr="0058147B" w14:paraId="324BBB6F" w14:textId="77777777" w:rsidTr="00A4572E">
        <w:trPr>
          <w:trHeight w:val="263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7F5C859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bœuf sans os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13BC4B" w14:textId="418604C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B91C4" w14:textId="0D5E651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83E43F" w14:textId="53CE29F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08C6" w14:textId="6DEB859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D55D23" w14:textId="0E0AC8D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2CCF3" w14:textId="780BAC8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5D59D2" w14:textId="0333EDE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2 717</w:t>
            </w:r>
          </w:p>
        </w:tc>
      </w:tr>
      <w:tr w:rsidR="005802AB" w:rsidRPr="0058147B" w14:paraId="7E25DC7E" w14:textId="77777777" w:rsidTr="00A4572E">
        <w:trPr>
          <w:trHeight w:val="14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1E626B9D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Viande de mouton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C73B27" w14:textId="4F3038D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352E32" w14:textId="4E88C5E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2 800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3A04A3" w14:textId="23701CF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D0BE34" w14:textId="58BB3D0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2 500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81D9453" w14:textId="6C998EC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D02047" w14:textId="570FF36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2FB77" w14:textId="05FD5F7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2 967</w:t>
            </w:r>
          </w:p>
        </w:tc>
      </w:tr>
      <w:tr w:rsidR="005802AB" w:rsidRPr="0058147B" w14:paraId="3D6531C6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D88CCEE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Riz importé ''GINO'' (5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2A8360" w14:textId="4BC8698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6 092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FEED90" w14:textId="182D698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5 500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EC9889" w14:textId="5AEFB65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A496EA" w14:textId="582C2DB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3E4BFF" w14:textId="7F68BDF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5 792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F6704B" w14:textId="51E7D32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6 084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3ED45A" w14:textId="3D0C606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5 871</w:t>
            </w:r>
          </w:p>
        </w:tc>
      </w:tr>
      <w:tr w:rsidR="005802AB" w:rsidRPr="0058147B" w14:paraId="6A021F19" w14:textId="77777777" w:rsidTr="00A4572E">
        <w:trPr>
          <w:trHeight w:val="196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3351CB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''JAGO''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D5C2EB" w14:textId="714AC07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A39A0C" w14:textId="5E8A346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598EAE" w14:textId="334E4ED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C39EA1" w14:textId="04E58B4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92BCE" w14:textId="6AC88F9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1 425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0242D8" w14:textId="6BD512B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B3D79" w14:textId="34F372E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1 408</w:t>
            </w:r>
          </w:p>
        </w:tc>
      </w:tr>
      <w:tr w:rsidR="005802AB" w:rsidRPr="0058147B" w14:paraId="269E582E" w14:textId="77777777" w:rsidTr="00A4572E">
        <w:trPr>
          <w:trHeight w:val="229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6E70019C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Lait concentré ''</w:t>
            </w:r>
            <w:proofErr w:type="spellStart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Cèbon</w:t>
            </w:r>
            <w:proofErr w:type="spellEnd"/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''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A9D5B" w14:textId="578DC95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73843F" w14:textId="1D4B2EC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A55D13" w14:textId="752D895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F062DD" w14:textId="0E008B4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DA4A1" w14:textId="038DA67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71A75B" w14:textId="50A5F35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2E1311" w14:textId="02C4447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1 208</w:t>
            </w:r>
          </w:p>
        </w:tc>
      </w:tr>
      <w:tr w:rsidR="005802AB" w:rsidRPr="0058147B" w14:paraId="5C3E5277" w14:textId="77777777" w:rsidTr="00A4572E">
        <w:trPr>
          <w:trHeight w:val="121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3A9B0DC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Farine de blé (1 KG)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F29AB9" w14:textId="29A0065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68AE4" w14:textId="7B2C836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AB24F2" w14:textId="1C6F250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B522C4" w14:textId="5221BD1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03A4A6" w14:textId="5C80AEA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617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D06047" w14:textId="67C6DC5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533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0A53D1" w14:textId="2639C6C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632</w:t>
            </w:r>
          </w:p>
        </w:tc>
      </w:tr>
      <w:tr w:rsidR="005802AB" w:rsidRPr="0058147B" w14:paraId="2E1EE8EA" w14:textId="77777777" w:rsidTr="00A4572E">
        <w:trPr>
          <w:trHeight w:val="16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DEE7B64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Spaghetti ''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Matanti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'' (500 </w:t>
            </w: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009534" w14:textId="0EAE05C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583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68B89E" w14:textId="770072C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550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7F5F3E" w14:textId="02E23E8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650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7578D4" w14:textId="12A70B3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A95CC6" w14:textId="595CA9E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58D6CB" w14:textId="217ABE3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3512CC" w14:textId="45F76A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539</w:t>
            </w:r>
          </w:p>
        </w:tc>
      </w:tr>
      <w:tr w:rsidR="005802AB" w:rsidRPr="0058147B" w14:paraId="53A579C3" w14:textId="77777777" w:rsidTr="00A4572E">
        <w:trPr>
          <w:trHeight w:val="175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2DA1373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NOCIBE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2916B1" w14:textId="32D2C44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A585E24" w14:textId="2ED5953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205CC0" w14:textId="46CCBD5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930B23" w14:textId="64A44E3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1F324E" w14:textId="7746DA0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9A617" w14:textId="7B51E4C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C58C55" w14:textId="1164359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5802AB" w:rsidRPr="0058147B" w14:paraId="5CA1AD35" w14:textId="77777777" w:rsidTr="00A4572E">
        <w:trPr>
          <w:trHeight w:val="177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E3D025D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Ciment SCB Lafarge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905910" w14:textId="55CAAA1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B5AC42" w14:textId="34B72BF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E139A" w14:textId="07444F8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83 000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462DA8F" w14:textId="49F0552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85 000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674ABC" w14:textId="0D898B4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74 500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AADD46" w14:textId="4193546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78B24" w14:textId="1B2266B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79 139</w:t>
            </w:r>
          </w:p>
        </w:tc>
      </w:tr>
      <w:tr w:rsidR="005802AB" w:rsidRPr="0058147B" w14:paraId="21BD7A68" w14:textId="77777777" w:rsidTr="00A4572E">
        <w:trPr>
          <w:trHeight w:val="230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17EAEE2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8)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7EBC5" w14:textId="6A2DFEA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753 333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ECABF9" w14:textId="46F0C31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8E4D44" w14:textId="4770FE8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37136E" w14:textId="67621F8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F121C0" w14:textId="77D997B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A8A4D6" w14:textId="0A32527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C8504D" w14:textId="31B5407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747 222</w:t>
            </w:r>
          </w:p>
        </w:tc>
      </w:tr>
      <w:tr w:rsidR="005802AB" w:rsidRPr="0058147B" w14:paraId="2C6AF10E" w14:textId="77777777" w:rsidTr="00A4572E">
        <w:trPr>
          <w:trHeight w:val="244"/>
        </w:trPr>
        <w:tc>
          <w:tcPr>
            <w:tcW w:w="353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0DB8ED" w14:textId="77777777" w:rsidR="005802AB" w:rsidRPr="0058147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147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Fer à béton (barre de 10) (1tonne)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C5170" w14:textId="7326DF36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755 000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CFA8C" w14:textId="0F034C1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750 000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34A3EE" w14:textId="2E0D627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720 000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81977D" w14:textId="1431706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1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9D4876" w14:textId="7E1C2C5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760 000</w:t>
            </w:r>
          </w:p>
        </w:tc>
        <w:tc>
          <w:tcPr>
            <w:tcW w:w="99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F1BD99" w14:textId="5599F81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740 000</w:t>
            </w:r>
          </w:p>
        </w:tc>
        <w:tc>
          <w:tcPr>
            <w:tcW w:w="9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34B42" w14:textId="1BFA1F5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747 500</w:t>
            </w:r>
          </w:p>
        </w:tc>
      </w:tr>
    </w:tbl>
    <w:p w14:paraId="1DAE63E7" w14:textId="261E6B87" w:rsidR="003671B8" w:rsidRPr="00640502" w:rsidRDefault="005B2823" w:rsidP="00640502">
      <w:pPr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 w:rsidRPr="00640502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E86A2E">
        <w:rPr>
          <w:rFonts w:ascii="Times New Roman" w:hAnsi="Times New Roman" w:cs="Times New Roman"/>
          <w:bCs/>
          <w:sz w:val="16"/>
          <w:szCs w:val="16"/>
        </w:rPr>
        <w:t>INStaD/DCNSE</w:t>
      </w:r>
      <w:r w:rsidR="00004B12">
        <w:rPr>
          <w:rFonts w:ascii="Times New Roman" w:hAnsi="Times New Roman" w:cs="Times New Roman"/>
          <w:bCs/>
          <w:sz w:val="16"/>
          <w:szCs w:val="16"/>
        </w:rPr>
        <w:t xml:space="preserve">-DDD,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A45810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1067A64D" w14:textId="77777777" w:rsidR="00C24CB3" w:rsidRDefault="00C24CB3" w:rsidP="00ED1B69">
      <w:pPr>
        <w:pStyle w:val="Titre5"/>
        <w:spacing w:before="120"/>
        <w:rPr>
          <w:rFonts w:ascii="Calibri" w:eastAsia="Times New Roman" w:hAnsi="Calibri" w:cs="Calibri"/>
          <w:bCs/>
          <w:color w:val="auto"/>
          <w:sz w:val="16"/>
          <w:szCs w:val="16"/>
        </w:rPr>
      </w:pPr>
    </w:p>
    <w:p w14:paraId="7960B764" w14:textId="12175A35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t>Tableau 6</w:t>
      </w:r>
      <w:r w:rsidR="003671B8" w:rsidRPr="00375101">
        <w:rPr>
          <w:rFonts w:ascii="Times New Roman" w:hAnsi="Times New Roman"/>
          <w:b/>
          <w:color w:val="auto"/>
        </w:rPr>
        <w:t> : Evolution du taux d’inflation dans les pays de l’UEMOA</w:t>
      </w:r>
    </w:p>
    <w:tbl>
      <w:tblPr>
        <w:tblW w:w="10915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57"/>
        <w:gridCol w:w="724"/>
        <w:gridCol w:w="666"/>
        <w:gridCol w:w="744"/>
        <w:gridCol w:w="718"/>
        <w:gridCol w:w="779"/>
        <w:gridCol w:w="697"/>
        <w:gridCol w:w="678"/>
        <w:gridCol w:w="708"/>
        <w:gridCol w:w="709"/>
        <w:gridCol w:w="709"/>
        <w:gridCol w:w="709"/>
        <w:gridCol w:w="708"/>
        <w:gridCol w:w="709"/>
      </w:tblGrid>
      <w:tr w:rsidR="009E7F5C" w:rsidRPr="009E7F5C" w14:paraId="67A21153" w14:textId="778CB715" w:rsidTr="009E7F5C">
        <w:trPr>
          <w:trHeight w:val="233"/>
          <w:jc w:val="center"/>
        </w:trPr>
        <w:tc>
          <w:tcPr>
            <w:tcW w:w="165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E687656" w14:textId="77777777" w:rsidR="00BC6A63" w:rsidRPr="009E7F5C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72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58907039" w14:textId="77777777" w:rsidR="00BC6A63" w:rsidRPr="009E7F5C" w:rsidRDefault="00BC6A63" w:rsidP="00BC6A63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Poids</w:t>
            </w:r>
          </w:p>
        </w:tc>
        <w:tc>
          <w:tcPr>
            <w:tcW w:w="666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5D2865A8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53CD6F3" w14:textId="71D0C1E8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déc.-21</w:t>
            </w:r>
          </w:p>
        </w:tc>
        <w:tc>
          <w:tcPr>
            <w:tcW w:w="744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0DB0FB51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D2746B0" w14:textId="59A60633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janv.-22</w:t>
            </w:r>
          </w:p>
        </w:tc>
        <w:tc>
          <w:tcPr>
            <w:tcW w:w="71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6EFD61CE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BCB1C45" w14:textId="099E11ED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févr.-22</w:t>
            </w:r>
          </w:p>
        </w:tc>
        <w:tc>
          <w:tcPr>
            <w:tcW w:w="77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4001B7D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D2EC9F9" w14:textId="632B4C6C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mars.-22</w:t>
            </w:r>
          </w:p>
        </w:tc>
        <w:tc>
          <w:tcPr>
            <w:tcW w:w="697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4C31F9E4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57A8DF8F" w14:textId="344C905F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avr.-22</w:t>
            </w:r>
          </w:p>
        </w:tc>
        <w:tc>
          <w:tcPr>
            <w:tcW w:w="67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7E9FA801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0402395" w14:textId="4DFD2161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mai.-22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FC83CD6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208EC8F" w14:textId="7FD2B2A2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juin.-22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A45DD73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2107FD32" w14:textId="254D686F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juil.-22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5A58AC9B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174BD362" w14:textId="16E28F40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août.-22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3130D206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318D7B54" w14:textId="38F5F9E9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sept.-22</w:t>
            </w:r>
          </w:p>
        </w:tc>
        <w:tc>
          <w:tcPr>
            <w:tcW w:w="708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2A002D4F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77D50BC1" w14:textId="63D6FA1A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oct.-22</w:t>
            </w:r>
          </w:p>
        </w:tc>
        <w:tc>
          <w:tcPr>
            <w:tcW w:w="709" w:type="dxa"/>
            <w:tcBorders>
              <w:top w:val="double" w:sz="6" w:space="0" w:color="auto"/>
              <w:left w:val="nil"/>
              <w:bottom w:val="single" w:sz="8" w:space="0" w:color="auto"/>
              <w:right w:val="nil"/>
            </w:tcBorders>
            <w:shd w:val="clear" w:color="auto" w:fill="9CC2E5" w:themeFill="accent1" w:themeFillTint="99"/>
            <w:vAlign w:val="center"/>
          </w:tcPr>
          <w:p w14:paraId="1561E293" w14:textId="77777777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14:paraId="6C589284" w14:textId="0F02B6C1" w:rsidR="00BC6A63" w:rsidRPr="009E7F5C" w:rsidRDefault="00BC6A63" w:rsidP="009E7F5C">
            <w:pPr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9E7F5C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nov.-22</w:t>
            </w:r>
          </w:p>
        </w:tc>
      </w:tr>
      <w:tr w:rsidR="009E7F5C" w:rsidRPr="003C1DEE" w14:paraId="6010854D" w14:textId="1CF9D5C1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7F8347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BENIN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9DC2ABC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760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B3CBF" w14:textId="405531B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1,7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9617E5" w14:textId="432D03B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1F81FC" w14:textId="4D284BC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2,8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BCA7990" w14:textId="2C6F1EF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A65B0F" w14:textId="1224724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3,0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6002ECE" w14:textId="1B46A82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97375D" w14:textId="1002940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9322F3" w14:textId="4DE2144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2,0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B292338" w14:textId="6251B3C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8A39156" w14:textId="03A00FD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645850" w14:textId="3FE5F96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A1412" w14:textId="2ACE0468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1,5</w:t>
            </w:r>
          </w:p>
        </w:tc>
      </w:tr>
      <w:tr w:rsidR="009E7F5C" w:rsidRPr="003C1DEE" w14:paraId="130BC247" w14:textId="4730D0E7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6CD76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BURKINA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F9516AF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1258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2E13399" w14:textId="4E73E3A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48543C8" w14:textId="2581772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862946" w14:textId="6158B1F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A1F33" w14:textId="47BD56C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BBA6EC" w14:textId="0E227E0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9FF5279" w14:textId="00B1BDB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7,8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329005" w14:textId="337DFBC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2A410A4" w14:textId="24176B2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10,2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65A8D1" w14:textId="38AC77E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11,5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6CE83B" w14:textId="1622263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12,5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787F96" w14:textId="22ADDAF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13,5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6CB0A01" w14:textId="3C8BC14E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14,0</w:t>
            </w:r>
          </w:p>
        </w:tc>
      </w:tr>
      <w:tr w:rsidR="009E7F5C" w:rsidRPr="003C1DEE" w14:paraId="0AF73BB5" w14:textId="264BAB45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8E653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COTE D'IVOIRE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D18D166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3131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7ECF5" w14:textId="72E090A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5A51DE" w14:textId="65A66EC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4,4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036379" w14:textId="6CAC7AC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C1124" w14:textId="5B1FA89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AFA7968" w14:textId="57B711B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61050C4" w14:textId="3776950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E3F67A5" w14:textId="4D88AC1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4091725" w14:textId="1662697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4F69FF" w14:textId="0787C30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EF10C6" w14:textId="0D266D3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5BC55A" w14:textId="3D598A8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FF646EA" w14:textId="588397AA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</w:tr>
      <w:tr w:rsidR="009E7F5C" w:rsidRPr="003C1DEE" w14:paraId="1314E4CC" w14:textId="660B5878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BA53B0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GUINNEE-BISSAU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C2964FA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39CE42" w14:textId="1EF7E42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3,3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4AA7878" w14:textId="0705BF4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3,7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DC59CD" w14:textId="5A6CE41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6DEEE2" w14:textId="7190042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720CAB" w14:textId="63817E8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5,2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5D01A5" w14:textId="3312767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5,6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DC07E1" w14:textId="3C01850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6,1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50505C9" w14:textId="52EE180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126DAB" w14:textId="68D05AE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BD51618" w14:textId="505C0CA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309CD1" w14:textId="6E623B4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C4DEF26" w14:textId="4B5E35CA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7,6</w:t>
            </w:r>
          </w:p>
        </w:tc>
      </w:tr>
      <w:tr w:rsidR="009E7F5C" w:rsidRPr="003C1DEE" w14:paraId="74298B3B" w14:textId="34DC72CD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9A0F06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MALI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83F1366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1428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F7043E2" w14:textId="2E8765E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3,9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0E92592" w14:textId="55B1023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531E3D" w14:textId="13928E44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5,1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BBFFF3" w14:textId="5DB0A20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5,5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D56D56F" w14:textId="56B1A8F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5,8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46DA17" w14:textId="6EA273A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995C3C" w14:textId="15FF2A3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BA1D65" w14:textId="13BB9AE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61DBDE" w14:textId="49AE552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8,3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31860E" w14:textId="24E78F8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4647D98" w14:textId="716A121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9,6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82CEED4" w14:textId="784268D6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9,8</w:t>
            </w:r>
          </w:p>
        </w:tc>
      </w:tr>
      <w:tr w:rsidR="009E7F5C" w:rsidRPr="003C1DEE" w14:paraId="1D916210" w14:textId="3ED2F203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CF3F68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NIGER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1C0650E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1111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50619C" w14:textId="1D3765D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3,8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2BD7735" w14:textId="6EA3DA9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932EC7" w14:textId="3260F83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4,0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E767251" w14:textId="54B3540B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4,1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10C6817" w14:textId="2B1B77E3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4,3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020BF4" w14:textId="548504C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60EC480" w14:textId="6CD4C25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285B7DE" w14:textId="15FB256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4,6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DDFA50" w14:textId="7AA99DE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4,5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F07192" w14:textId="46C216F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4,5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563A6A6" w14:textId="43C4073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D9B435E" w14:textId="26BCCD82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</w:tr>
      <w:tr w:rsidR="009E7F5C" w:rsidRPr="003C1DEE" w14:paraId="41D2A27F" w14:textId="087444AB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BD228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SENEGAL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C6A3A45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1491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EC90D2B" w14:textId="697FE4A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2,2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20B3697" w14:textId="03739D8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2,6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339FE06" w14:textId="0D11DB6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2,9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D2E460" w14:textId="5772089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3,4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F90308E" w14:textId="0B1009E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3,9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9A3892E" w14:textId="20D2C8D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4,4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BF37EDF" w14:textId="2648862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C1C283C" w14:textId="45EA5A89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5,7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F0DC97F" w14:textId="79C3FD5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92CC8" w14:textId="6DF5C78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961D746" w14:textId="0A2A460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8,0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F7B0D97" w14:textId="3424C021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8,9</w:t>
            </w:r>
          </w:p>
        </w:tc>
      </w:tr>
      <w:tr w:rsidR="009E7F5C" w:rsidRPr="003C1DEE" w14:paraId="789B2A5C" w14:textId="5EC53FE8" w:rsidTr="009E7F5C">
        <w:trPr>
          <w:trHeight w:val="211"/>
          <w:jc w:val="center"/>
        </w:trPr>
        <w:tc>
          <w:tcPr>
            <w:tcW w:w="1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0B47C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TOGO</w:t>
            </w:r>
          </w:p>
        </w:tc>
        <w:tc>
          <w:tcPr>
            <w:tcW w:w="7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E08C46D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681</w:t>
            </w:r>
          </w:p>
        </w:tc>
        <w:tc>
          <w:tcPr>
            <w:tcW w:w="6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368AE34" w14:textId="110D656C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4,5</w:t>
            </w:r>
          </w:p>
        </w:tc>
        <w:tc>
          <w:tcPr>
            <w:tcW w:w="74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1EFEDC2" w14:textId="60335FB1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C8128C2" w14:textId="2B5A1CB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sz w:val="18"/>
                <w:szCs w:val="18"/>
              </w:rPr>
              <w:t>5,5</w:t>
            </w: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20568EE" w14:textId="05DE882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6,2</w:t>
            </w:r>
          </w:p>
        </w:tc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972CC1" w14:textId="147BBAE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6,6</w:t>
            </w: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9CCE16" w14:textId="1081ED3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150BE7A" w14:textId="48A0556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1C7773B" w14:textId="262536CD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3402637" w14:textId="24588525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6,9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127F2E" w14:textId="49DA80D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7,1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DFD204" w14:textId="4EB0200E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Cs/>
                <w:sz w:val="18"/>
                <w:szCs w:val="18"/>
              </w:rPr>
              <w:t>7,2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0319068" w14:textId="00EB8BE8" w:rsidR="005802AB" w:rsidRPr="0003639B" w:rsidRDefault="005802AB" w:rsidP="005802AB">
            <w:pPr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03639B">
              <w:rPr>
                <w:rFonts w:ascii="Times New Roman" w:hAnsi="Times New Roman" w:cs="Times New Roman"/>
                <w:bCs/>
                <w:sz w:val="18"/>
                <w:szCs w:val="18"/>
              </w:rPr>
              <w:t>7,5</w:t>
            </w:r>
          </w:p>
        </w:tc>
      </w:tr>
      <w:tr w:rsidR="009E7F5C" w:rsidRPr="003C1DEE" w14:paraId="0F59F21C" w14:textId="187DB98E" w:rsidTr="009E7F5C">
        <w:trPr>
          <w:trHeight w:val="223"/>
          <w:jc w:val="center"/>
        </w:trPr>
        <w:tc>
          <w:tcPr>
            <w:tcW w:w="1657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B4FBBD" w14:textId="77777777" w:rsidR="005802AB" w:rsidRPr="003C1DEE" w:rsidRDefault="005802AB" w:rsidP="005802AB">
            <w:pPr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UEMOA</w:t>
            </w:r>
          </w:p>
        </w:tc>
        <w:tc>
          <w:tcPr>
            <w:tcW w:w="724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12A664B" w14:textId="77777777" w:rsidR="005802AB" w:rsidRPr="003C1DEE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 w:rsidRPr="003C1DEE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666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7AD13C6B" w14:textId="5AD778B6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3,6</w:t>
            </w:r>
          </w:p>
        </w:tc>
        <w:tc>
          <w:tcPr>
            <w:tcW w:w="744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807C424" w14:textId="5F48DF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4,0</w:t>
            </w:r>
          </w:p>
        </w:tc>
        <w:tc>
          <w:tcPr>
            <w:tcW w:w="71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CFC68E0" w14:textId="0084F42A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4,3</w:t>
            </w:r>
          </w:p>
        </w:tc>
        <w:tc>
          <w:tcPr>
            <w:tcW w:w="77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504460" w14:textId="5EE35CA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4,6</w:t>
            </w:r>
          </w:p>
        </w:tc>
        <w:tc>
          <w:tcPr>
            <w:tcW w:w="697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645BD909" w14:textId="6F383E28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4,9</w:t>
            </w:r>
          </w:p>
        </w:tc>
        <w:tc>
          <w:tcPr>
            <w:tcW w:w="67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32A21705" w14:textId="5B0B909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5,2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4EEDB277" w14:textId="0B4C2D5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5,5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144FC055" w14:textId="4E051080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5,9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04895389" w14:textId="266B6B2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6,4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93A4853" w14:textId="63602A12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802AB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6,7</w:t>
            </w:r>
          </w:p>
        </w:tc>
        <w:tc>
          <w:tcPr>
            <w:tcW w:w="708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5C7BA23F" w14:textId="1EEEAFA9" w:rsidR="005802AB" w:rsidRPr="00531604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7,1</w:t>
            </w:r>
          </w:p>
        </w:tc>
        <w:tc>
          <w:tcPr>
            <w:tcW w:w="709" w:type="dxa"/>
            <w:tcBorders>
              <w:top w:val="nil"/>
              <w:left w:val="nil"/>
              <w:bottom w:val="double" w:sz="6" w:space="0" w:color="auto"/>
              <w:right w:val="nil"/>
            </w:tcBorders>
            <w:vAlign w:val="bottom"/>
          </w:tcPr>
          <w:p w14:paraId="2A4432E9" w14:textId="6762F58E" w:rsidR="005802AB" w:rsidRPr="00531604" w:rsidRDefault="005802AB" w:rsidP="005802A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53160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7,3</w:t>
            </w:r>
          </w:p>
        </w:tc>
      </w:tr>
    </w:tbl>
    <w:p w14:paraId="08A9E71B" w14:textId="5ED6BDD6" w:rsidR="00645EC4" w:rsidRDefault="00C03005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  <w:r>
        <w:rPr>
          <w:rFonts w:ascii="Times New Roman" w:hAnsi="Times New Roman" w:cs="Times New Roman"/>
          <w:bCs/>
          <w:sz w:val="16"/>
          <w:szCs w:val="16"/>
        </w:rPr>
        <w:t xml:space="preserve">   </w:t>
      </w:r>
      <w:r w:rsidR="005B2823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 xml:space="preserve"> : INS </w:t>
      </w:r>
      <w:r w:rsidR="009E7F5C">
        <w:rPr>
          <w:rFonts w:ascii="Times New Roman" w:hAnsi="Times New Roman" w:cs="Times New Roman"/>
          <w:bCs/>
          <w:sz w:val="16"/>
          <w:szCs w:val="16"/>
        </w:rPr>
        <w:t xml:space="preserve">des Etats </w:t>
      </w:r>
      <w:r w:rsidR="003671B8" w:rsidRPr="00EF65B5">
        <w:rPr>
          <w:rFonts w:ascii="Times New Roman" w:hAnsi="Times New Roman" w:cs="Times New Roman"/>
          <w:bCs/>
          <w:sz w:val="16"/>
          <w:szCs w:val="16"/>
        </w:rPr>
        <w:t>et</w:t>
      </w:r>
      <w:r w:rsidR="00004991">
        <w:rPr>
          <w:rFonts w:ascii="Times New Roman" w:hAnsi="Times New Roman" w:cs="Times New Roman"/>
          <w:bCs/>
          <w:sz w:val="16"/>
          <w:szCs w:val="16"/>
        </w:rPr>
        <w:t xml:space="preserve"> Commission</w:t>
      </w:r>
      <w:r w:rsidR="00EA37C7">
        <w:rPr>
          <w:rFonts w:ascii="Times New Roman" w:hAnsi="Times New Roman" w:cs="Times New Roman"/>
          <w:bCs/>
          <w:sz w:val="16"/>
          <w:szCs w:val="16"/>
        </w:rPr>
        <w:t xml:space="preserve"> de l’UEMOA, </w:t>
      </w:r>
      <w:r w:rsidR="005C0071">
        <w:rPr>
          <w:rFonts w:ascii="Times New Roman" w:hAnsi="Times New Roman" w:cs="Times New Roman"/>
          <w:bCs/>
          <w:sz w:val="16"/>
          <w:szCs w:val="16"/>
        </w:rPr>
        <w:t>novembre</w:t>
      </w:r>
      <w:r w:rsidR="00FF7046">
        <w:rPr>
          <w:rFonts w:ascii="Times New Roman" w:hAnsi="Times New Roman" w:cs="Times New Roman"/>
          <w:bCs/>
          <w:sz w:val="16"/>
          <w:szCs w:val="16"/>
        </w:rPr>
        <w:t xml:space="preserve"> </w:t>
      </w:r>
      <w:r w:rsidR="00277AFC">
        <w:rPr>
          <w:rFonts w:ascii="Times New Roman" w:hAnsi="Times New Roman" w:cs="Times New Roman"/>
          <w:bCs/>
          <w:sz w:val="16"/>
          <w:szCs w:val="16"/>
        </w:rPr>
        <w:t>2022</w:t>
      </w:r>
    </w:p>
    <w:p w14:paraId="4368B12E" w14:textId="77777777" w:rsidR="008549AF" w:rsidRDefault="008549AF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B529CDF" w14:textId="77777777" w:rsidR="007345C1" w:rsidRDefault="007345C1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24FF7653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76B1C4D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6329A11E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4F16F282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3E6253AC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5D30BD48" w14:textId="77777777" w:rsidR="00DC3EB4" w:rsidRDefault="00DC3EB4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E557788" w14:textId="77777777" w:rsidR="00F74D76" w:rsidRDefault="00F74D76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0CBBFCF5" w14:textId="77777777" w:rsidR="00752D57" w:rsidRPr="00D670C6" w:rsidRDefault="00752D57" w:rsidP="00343425">
      <w:pPr>
        <w:ind w:left="-567"/>
        <w:rPr>
          <w:rFonts w:ascii="Times New Roman" w:hAnsi="Times New Roman" w:cs="Times New Roman"/>
          <w:bCs/>
          <w:sz w:val="16"/>
          <w:szCs w:val="16"/>
        </w:rPr>
      </w:pPr>
    </w:p>
    <w:p w14:paraId="79139C7F" w14:textId="294909D7" w:rsidR="003671B8" w:rsidRPr="00375101" w:rsidRDefault="008D3CC5" w:rsidP="00ED1B69">
      <w:pPr>
        <w:pStyle w:val="Titre5"/>
        <w:spacing w:before="120"/>
        <w:rPr>
          <w:rFonts w:ascii="Times New Roman" w:hAnsi="Times New Roman"/>
          <w:b/>
          <w:color w:val="auto"/>
        </w:rPr>
      </w:pPr>
      <w:r>
        <w:rPr>
          <w:rFonts w:ascii="Times New Roman" w:hAnsi="Times New Roman"/>
          <w:b/>
          <w:color w:val="auto"/>
        </w:rPr>
        <w:lastRenderedPageBreak/>
        <w:t>Tableau 7</w:t>
      </w:r>
      <w:r w:rsidR="003671B8" w:rsidRPr="00375101">
        <w:rPr>
          <w:rFonts w:ascii="Times New Roman" w:hAnsi="Times New Roman"/>
          <w:b/>
          <w:color w:val="auto"/>
        </w:rPr>
        <w:t> :</w:t>
      </w:r>
      <w:r w:rsidR="00004B12" w:rsidRPr="00375101">
        <w:rPr>
          <w:rFonts w:ascii="Times New Roman" w:hAnsi="Times New Roman"/>
          <w:b/>
          <w:color w:val="auto"/>
        </w:rPr>
        <w:t xml:space="preserve"> Indice groupe du mois </w:t>
      </w:r>
      <w:r w:rsidR="009737AB">
        <w:rPr>
          <w:rFonts w:ascii="Times New Roman" w:hAnsi="Times New Roman"/>
          <w:b/>
          <w:color w:val="auto"/>
        </w:rPr>
        <w:t xml:space="preserve">de </w:t>
      </w:r>
      <w:r w:rsidR="00556952">
        <w:rPr>
          <w:rFonts w:ascii="Times New Roman" w:hAnsi="Times New Roman"/>
          <w:b/>
          <w:color w:val="auto"/>
        </w:rPr>
        <w:t>décembre</w:t>
      </w:r>
      <w:r w:rsidR="00DA659C">
        <w:rPr>
          <w:rFonts w:ascii="Times New Roman" w:hAnsi="Times New Roman"/>
          <w:b/>
          <w:color w:val="auto"/>
        </w:rPr>
        <w:t xml:space="preserve"> </w:t>
      </w:r>
      <w:r w:rsidR="00694FB2" w:rsidRPr="00375101">
        <w:rPr>
          <w:rFonts w:ascii="Times New Roman" w:hAnsi="Times New Roman"/>
          <w:b/>
          <w:color w:val="auto"/>
        </w:rPr>
        <w:t>2022</w:t>
      </w:r>
    </w:p>
    <w:tbl>
      <w:tblPr>
        <w:tblW w:w="1041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7"/>
        <w:gridCol w:w="3640"/>
        <w:gridCol w:w="514"/>
        <w:gridCol w:w="681"/>
        <w:gridCol w:w="776"/>
        <w:gridCol w:w="60"/>
        <w:gridCol w:w="621"/>
        <w:gridCol w:w="68"/>
        <w:gridCol w:w="629"/>
        <w:gridCol w:w="735"/>
        <w:gridCol w:w="619"/>
        <w:gridCol w:w="70"/>
        <w:gridCol w:w="589"/>
        <w:gridCol w:w="99"/>
        <w:gridCol w:w="671"/>
      </w:tblGrid>
      <w:tr w:rsidR="003671B8" w:rsidRPr="005802AB" w14:paraId="6830D691" w14:textId="77777777" w:rsidTr="00445166">
        <w:trPr>
          <w:trHeight w:val="240"/>
          <w:jc w:val="center"/>
        </w:trPr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noWrap/>
            <w:vAlign w:val="bottom"/>
            <w:hideMark/>
          </w:tcPr>
          <w:p w14:paraId="00679BFE" w14:textId="77777777" w:rsidR="003671B8" w:rsidRPr="005802AB" w:rsidRDefault="003671B8" w:rsidP="003671B8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21D80976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Indice groupe de la NCOA-IHPC</w:t>
            </w: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EFB175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357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4177C991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Indices pour les mois de </w:t>
            </w:r>
          </w:p>
        </w:tc>
        <w:tc>
          <w:tcPr>
            <w:tcW w:w="204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noWrap/>
            <w:vAlign w:val="bottom"/>
            <w:hideMark/>
          </w:tcPr>
          <w:p w14:paraId="2B7CA774" w14:textId="77777777" w:rsidR="003671B8" w:rsidRPr="005802AB" w:rsidRDefault="003671B8" w:rsidP="003671B8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Variation en % depuis</w:t>
            </w:r>
          </w:p>
        </w:tc>
      </w:tr>
      <w:tr w:rsidR="00945BAE" w:rsidRPr="005802AB" w14:paraId="2E98F3E2" w14:textId="77777777" w:rsidTr="00445166">
        <w:trPr>
          <w:trHeight w:val="252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hideMark/>
          </w:tcPr>
          <w:p w14:paraId="34A4792E" w14:textId="77777777" w:rsidR="00945BAE" w:rsidRPr="005802AB" w:rsidRDefault="00945BAE" w:rsidP="00945BAE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 </w:t>
            </w:r>
          </w:p>
        </w:tc>
        <w:tc>
          <w:tcPr>
            <w:tcW w:w="3640" w:type="dxa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14:paraId="24C9A0E5" w14:textId="77777777" w:rsidR="00945BAE" w:rsidRPr="005802AB" w:rsidRDefault="00945BAE" w:rsidP="00945BAE">
            <w:pP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662E3A18" w14:textId="77777777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Poids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1677A0CF" w14:textId="5C4272C0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déc</w:t>
            </w: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.-21</w:t>
            </w:r>
          </w:p>
        </w:tc>
        <w:tc>
          <w:tcPr>
            <w:tcW w:w="7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660E2DE" w14:textId="387094BE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sept.-22</w:t>
            </w:r>
          </w:p>
        </w:tc>
        <w:tc>
          <w:tcPr>
            <w:tcW w:w="68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4DEC24EE" w14:textId="75BA1CCF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oct.-22</w:t>
            </w:r>
          </w:p>
        </w:tc>
        <w:tc>
          <w:tcPr>
            <w:tcW w:w="69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751A6D5" w14:textId="3C8D0F33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nov.-22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127A3A8F" w14:textId="34BE65AE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déc</w:t>
            </w: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.-22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7625391E" w14:textId="77777777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 mois</w:t>
            </w:r>
          </w:p>
        </w:tc>
        <w:tc>
          <w:tcPr>
            <w:tcW w:w="58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9CC2E5" w:themeFill="accent1" w:themeFillTint="99"/>
            <w:vAlign w:val="bottom"/>
            <w:hideMark/>
          </w:tcPr>
          <w:p w14:paraId="0D0D2472" w14:textId="77777777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3 mois</w:t>
            </w:r>
          </w:p>
        </w:tc>
        <w:tc>
          <w:tcPr>
            <w:tcW w:w="770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9CC2E5" w:themeFill="accent1" w:themeFillTint="99"/>
            <w:vAlign w:val="bottom"/>
            <w:hideMark/>
          </w:tcPr>
          <w:p w14:paraId="4C3BD64C" w14:textId="77777777" w:rsidR="00945BAE" w:rsidRPr="005802AB" w:rsidRDefault="00945BAE" w:rsidP="00945BAE">
            <w:pPr>
              <w:jc w:val="center"/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bCs/>
                <w:sz w:val="14"/>
                <w:szCs w:val="14"/>
              </w:rPr>
              <w:t>12 mois</w:t>
            </w:r>
          </w:p>
        </w:tc>
      </w:tr>
      <w:tr w:rsidR="00DB05A6" w:rsidRPr="005802AB" w14:paraId="0B152EEE" w14:textId="77777777" w:rsidTr="00445166">
        <w:trPr>
          <w:trHeight w:val="21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0E98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Alimentation et boisson non alcoolisées</w:t>
            </w:r>
          </w:p>
        </w:tc>
        <w:tc>
          <w:tcPr>
            <w:tcW w:w="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B1A36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49585F" w14:textId="1F756E45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FE452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6CCE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036E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66119B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E462C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6B7D0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167863" w14:textId="77777777" w:rsidR="00DB05A6" w:rsidRPr="005802AB" w:rsidRDefault="00DB05A6" w:rsidP="00DB05A6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391ABD0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B6267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AFE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 alimentaires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828F4E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C0815F" w14:textId="69EF7B6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F1C6" w14:textId="67C8F50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5B3815" w14:textId="0B8C456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8360E8" w14:textId="67C737B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2997F9" w14:textId="7549F42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B7F050" w14:textId="5127E7B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B2A7E" w14:textId="5A1777E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EA004F" w14:textId="381B492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</w:tr>
      <w:tr w:rsidR="005802AB" w:rsidRPr="005802AB" w14:paraId="3093E38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F104F3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57ABD3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non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67BDC7" w14:textId="766BFE0F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56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E86C82" w14:textId="562F512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97A2AD" w14:textId="42DDC2E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88C75" w14:textId="58DA163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413488" w14:textId="5E0D702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88F894" w14:textId="36C1463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B5484B" w14:textId="199182B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A328E9" w14:textId="54C6E47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526F2" w14:textId="073E891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1,0%</w:t>
            </w:r>
          </w:p>
        </w:tc>
      </w:tr>
      <w:tr w:rsidR="005802AB" w:rsidRPr="005802AB" w14:paraId="41BC1231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8BEB03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Boissons alcoolisées, tabac et stupéfiant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C3A46F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882811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5E3D3" w14:textId="04407716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B1F2B7" w14:textId="04C2BBFB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B920E2" w14:textId="794F92ED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2F661B" w14:textId="1BA530F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6CD1C8" w14:textId="3CBA5615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B8B36E" w14:textId="397CF74D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C871A1" w14:textId="3F52AD5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13159C4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2C06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6D4BF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Boissons alcoolisées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86DA4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6312C8" w14:textId="0537E5D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D45335" w14:textId="6D58D8D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88D5D8" w14:textId="69F6348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80A525" w14:textId="363EFD0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C68EF" w14:textId="7762480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6299A0" w14:textId="0E3DB19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AC7241" w14:textId="687F292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80D5D" w14:textId="44D44C8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3,2%</w:t>
            </w:r>
          </w:p>
        </w:tc>
      </w:tr>
      <w:tr w:rsidR="005802AB" w:rsidRPr="005802AB" w14:paraId="0604E1C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81991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022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99B31C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Tabacs et stupéfiants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78EE13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520B85" w14:textId="3A91895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126,7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90C521" w14:textId="1AD3491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E77EB2" w14:textId="4F86EFD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F4484F" w14:textId="7287C8F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130,9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86C9C6" w14:textId="2D7BA1D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B148" w14:textId="5BCA50D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0,8%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58F6C3" w14:textId="31456F5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-1,2%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FF8E5A" w14:textId="2E7B16D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4,1%</w:t>
            </w:r>
          </w:p>
        </w:tc>
      </w:tr>
      <w:tr w:rsidR="005802AB" w:rsidRPr="005802AB" w14:paraId="4E63665A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552811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Articles d'habillement et 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EED92F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0EC51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AB6468" w14:textId="6BE59A0F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37E94F" w14:textId="51133BA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5FE5B89" w14:textId="004232E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A5675" w14:textId="42327413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A3AF7A" w14:textId="075EB7B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8FC784" w14:textId="2EAEE57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E5F7E1" w14:textId="26B40BA4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3E588A4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A6EF3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F3B7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d'habillement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9203D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446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6C676" w14:textId="07F2327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8871E9" w14:textId="6F9B45E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86D7B4" w14:textId="3653745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DE8FC" w14:textId="25D599A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FE828" w14:textId="52AB1D9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6A33DA" w14:textId="2D22E37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540C8E" w14:textId="6D9DD72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72A608" w14:textId="4DE3461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4,8%</w:t>
            </w:r>
          </w:p>
        </w:tc>
      </w:tr>
      <w:tr w:rsidR="005802AB" w:rsidRPr="005802AB" w14:paraId="1BCB9F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C912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032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18EE65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Chaussures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E43C6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FAEDC8" w14:textId="11B98AF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80C607" w14:textId="5CE5D8E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39F978" w14:textId="688F3C5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246568" w14:textId="3F1185B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532785" w14:textId="1AF8483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1FB99C" w14:textId="27E7400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207A86" w14:textId="7456170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095340" w14:textId="2D80BD8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6,9%</w:t>
            </w:r>
          </w:p>
        </w:tc>
      </w:tr>
      <w:tr w:rsidR="005802AB" w:rsidRPr="005802AB" w14:paraId="6952DFD5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BAED5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Logement, eau, électricité, gaz et autres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2F22C7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620C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3569FC" w14:textId="453C258D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2FB8A6" w14:textId="617844DE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B7273" w14:textId="65D83ED3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F27DD2" w14:textId="7424483E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D1A52C" w14:textId="712A4F2D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A788E" w14:textId="65D3AE24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AFA4D2" w14:textId="330A28E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3F72406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61DC86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55DAF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Loyers effectifs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E3136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72CBA5" w14:textId="74BE22A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FB496A" w14:textId="240323A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3C447E" w14:textId="3F86511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1C7F92" w14:textId="76D25A0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6F02A" w14:textId="1A9364C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4832DA" w14:textId="126CBD5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D3CCDC" w14:textId="601A09A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6CA78" w14:textId="27C6BCB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1,3%</w:t>
            </w:r>
          </w:p>
        </w:tc>
      </w:tr>
      <w:tr w:rsidR="005802AB" w:rsidRPr="005802AB" w14:paraId="6B0765F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1E5F7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41A8E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Entretien et réparation des logements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9A11A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A62D9A" w14:textId="4631ABB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278A" w14:textId="5290331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69B49F" w14:textId="53496DA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430948" w14:textId="34B2DF7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C800F9" w14:textId="3E57FF2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DA26FF" w14:textId="57C81C3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16FCF8" w14:textId="070820F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AB82" w14:textId="4F0DEB2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6,3%</w:t>
            </w:r>
          </w:p>
        </w:tc>
      </w:tr>
      <w:tr w:rsidR="005802AB" w:rsidRPr="005802AB" w14:paraId="7FA617B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01A2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877ED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Alimentation en eau et services divers lié au logement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DA18E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2B91FD" w14:textId="53CFEDC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8C62BC" w14:textId="6F213FE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4BF9B" w14:textId="35AC3B6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277A26" w14:textId="13FAAB3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85B94F" w14:textId="0BDE6E6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83,2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2B356" w14:textId="29CF8FD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6C774" w14:textId="0EA081F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5E9C7C" w14:textId="3E2B0A4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5802AB" w:rsidRPr="005802AB" w14:paraId="3BECE38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98D9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045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8E0B3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Electricité, gaz et autres combustibles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F184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544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3E4187" w14:textId="21C3A1C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649317" w14:textId="30C69E6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6B91ED" w14:textId="095AFE6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CA1043" w14:textId="124F350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E81AE" w14:textId="53BA85C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21B18D" w14:textId="034C5BF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A530AF" w14:textId="5EEB95B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4987D5" w14:textId="25F1A1D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12,5%</w:t>
            </w:r>
          </w:p>
        </w:tc>
      </w:tr>
      <w:tr w:rsidR="005802AB" w:rsidRPr="005802AB" w14:paraId="34B5857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B1AEA6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Meubles, articles de ménages et entretien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85E07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01C82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7F7C7" w14:textId="50CE36B1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9959F1" w14:textId="4C54E681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1C6BC8" w14:textId="7614352D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5FD3F7" w14:textId="0A9AA05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536B64" w14:textId="02E4C96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4BD22A" w14:textId="49238F3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A80A2" w14:textId="727BA36C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05F058E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CF06E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93E8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Meubles., articles d'ameublement, tapis et autres revêtement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0ED74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D25341" w14:textId="10862F2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D0D5D5" w14:textId="5C69DB2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A81176" w14:textId="37B54AE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B2C7D6" w14:textId="7527C4B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95322" w14:textId="357F367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E6F287" w14:textId="140BC60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F30135" w14:textId="43B982B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0,5%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211C3" w14:textId="2FF14B3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-0,4%</w:t>
            </w:r>
          </w:p>
        </w:tc>
      </w:tr>
      <w:tr w:rsidR="005802AB" w:rsidRPr="005802AB" w14:paraId="2FFFF3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07C4C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FD67A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Articles de ménage en textiles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7DFE7C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9890EB" w14:textId="4F4C5C6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FC7836" w14:textId="625A7DA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9C9EBD" w14:textId="7380423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27A87" w14:textId="1D6060D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A3338F" w14:textId="1BDC9FF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FDB65C" w14:textId="6BABFCF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49D737" w14:textId="49C0CCC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D2331F" w14:textId="2AF23C9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6,8%</w:t>
            </w:r>
          </w:p>
        </w:tc>
      </w:tr>
      <w:tr w:rsidR="005802AB" w:rsidRPr="005802AB" w14:paraId="60096D5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B2553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438A83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Appareils ménagers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A79E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9C450C" w14:textId="679C025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119F60" w14:textId="71AD8E4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1BDA54" w14:textId="6FBBEBA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9381B1" w14:textId="0A490D9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E3071E" w14:textId="08420F2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4DCFE" w14:textId="2E84323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EF270" w14:textId="1239B48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D77753" w14:textId="32554E9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5,7%</w:t>
            </w:r>
          </w:p>
        </w:tc>
      </w:tr>
      <w:tr w:rsidR="005802AB" w:rsidRPr="005802AB" w14:paraId="30968AD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37EC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4C8D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Verrerie, vaisselle et ustensiles de ménage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6A447D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D23B77" w14:textId="7F91553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005B8" w14:textId="59F8638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8343E" w14:textId="38B0B1B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9048B" w14:textId="6CFB5BE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E0100D" w14:textId="090CDDC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115,7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9D4AE77" w14:textId="2391F7D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361313" w14:textId="3F977FD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86A5E2" w14:textId="4FC9EBA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7,7%</w:t>
            </w:r>
          </w:p>
        </w:tc>
      </w:tr>
      <w:tr w:rsidR="005802AB" w:rsidRPr="005802AB" w14:paraId="119372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586B3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15D70D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Outillage et autre matériel pour la maison et le jardin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E7DEC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5B001E" w14:textId="39023FD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2047BA" w14:textId="4321817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6C99B0" w14:textId="40B54AB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120,7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0DD17" w14:textId="4843F21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3E8143" w14:textId="520599E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121,0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1D33D" w14:textId="4FFA99C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19437" w14:textId="6A2A18E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DFDFA3" w14:textId="452313A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7,6%</w:t>
            </w:r>
          </w:p>
        </w:tc>
      </w:tr>
      <w:tr w:rsidR="005802AB" w:rsidRPr="005802AB" w14:paraId="6AF2F9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974741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056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570E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Biens et services liés à l'entretien courant du foyer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1994DA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134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7052DA" w14:textId="04CA3C0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273F00" w14:textId="6D88099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A8B99F" w14:textId="57320DC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E5BB57" w14:textId="7895EA0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50C363" w14:textId="10C5F8B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114,4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646B16" w14:textId="4F2D5B6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6CCE5B" w14:textId="15E6DCB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3,6%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6F13" w14:textId="52A0C78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10,1%</w:t>
            </w:r>
          </w:p>
        </w:tc>
      </w:tr>
      <w:tr w:rsidR="005802AB" w:rsidRPr="005802AB" w14:paraId="575CD685" w14:textId="77777777" w:rsidTr="00445166">
        <w:trPr>
          <w:trHeight w:val="99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5E70A6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Santé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452C3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B80776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03272F" w14:textId="6292F784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D0336CD" w14:textId="00877CEF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A32B5" w14:textId="2470695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583A98" w14:textId="1B88A4F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CCC856" w14:textId="418CBBA1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2E7377" w14:textId="574BEC06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108F79" w14:textId="25843C11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749D36A4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9E83A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EA27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Produits, appareils et matériels médicaux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BC3E3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215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36C3B0" w14:textId="10CC01E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FE2A2D" w14:textId="390F519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E820" w14:textId="5B6132D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69DD21" w14:textId="7BB4F48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551C19" w14:textId="44F8508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3AE24" w14:textId="22ABFE5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DC8AB8" w14:textId="76B5601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C2A76A" w14:textId="198D14F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</w:tr>
      <w:tr w:rsidR="005802AB" w:rsidRPr="005802AB" w14:paraId="76E7A94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462711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5589D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ambulatoires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95248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A7A7A9" w14:textId="69B29C7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D7DCF4" w14:textId="43CDD9B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445F52" w14:textId="2BB1CAE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09AF2B" w14:textId="4573F93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1F16A" w14:textId="227F45B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E765D2" w14:textId="15CCD62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39FBF0" w14:textId="0A8B067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82E713" w14:textId="57FB430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5802AB" w:rsidRPr="005802AB" w14:paraId="6B9816C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55FFC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063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42603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hospitaliers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71FF8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6517CA" w14:textId="282C1FD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4E853D" w14:textId="0A61603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A3B5E" w14:textId="3AE2240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A4668F" w14:textId="61DCF20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F3485" w14:textId="11C0E0E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EB17A" w14:textId="5195F1D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3B6306" w14:textId="2BAEF48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29E85" w14:textId="59A26FD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4,5%</w:t>
            </w:r>
          </w:p>
        </w:tc>
      </w:tr>
      <w:tr w:rsidR="005802AB" w:rsidRPr="005802AB" w14:paraId="3A1DA82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AEC58E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DDBCC3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9F7F6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8325F" w14:textId="783404FC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E11BC8" w14:textId="45584089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F3CD7B" w14:textId="469613ED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1EAB0B" w14:textId="0FA8AEA3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94AA26" w14:textId="21478A9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505609" w14:textId="2647C6E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017622" w14:textId="4A0B32A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03CCB2B1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9BE8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9F4EBC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Achat de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9C4848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8DBEA8" w14:textId="31DB5A2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D81E53" w14:textId="7CEB0AE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105A8E" w14:textId="4C0761E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6EAB90" w14:textId="2F2381E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B89313" w14:textId="7AE8396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EEF89F" w14:textId="3CE0248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C4D8DB" w14:textId="7901BC4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0,7%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7C03561" w14:textId="63460A6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8,5%</w:t>
            </w:r>
          </w:p>
        </w:tc>
      </w:tr>
      <w:tr w:rsidR="005802AB" w:rsidRPr="005802AB" w14:paraId="3C135955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FEBB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2CD4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Dépenses d'utilisation des véhicules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92787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E5BFC" w14:textId="50436E0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96,5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B826D" w14:textId="53E286F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576C0F" w14:textId="7D014AB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95AD6" w14:textId="3D1804E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7E7FFD" w14:textId="5052B29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111,8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00C1E2" w14:textId="21CD33E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1AE50D" w14:textId="1F6E2C4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D1F792" w14:textId="4278243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15,8%</w:t>
            </w:r>
          </w:p>
        </w:tc>
      </w:tr>
      <w:tr w:rsidR="005802AB" w:rsidRPr="005802AB" w14:paraId="6069027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56DBA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073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369F3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transport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85F3BF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361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E48ACD" w14:textId="65DCA5F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131,9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ADBEF4" w14:textId="0903FA8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132,1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837760" w14:textId="14256B3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133,8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876476" w14:textId="646CEB8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25BA63" w14:textId="17A780C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143,1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6C58A8" w14:textId="75FC196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920610" w14:textId="21BD0AB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FF7645" w14:textId="113C547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8,5%</w:t>
            </w:r>
          </w:p>
        </w:tc>
      </w:tr>
      <w:tr w:rsidR="005802AB" w:rsidRPr="005802AB" w14:paraId="3F7A783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0816C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Communication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C1DF2E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9BC47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CD2AD9" w14:textId="2C4CC02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1BF51" w14:textId="6BD5EAE9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456343" w14:textId="442273F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FDDD34" w14:textId="0098F96B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1BE1E4" w14:textId="6945DF4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B5C50A" w14:textId="0F1D989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54E8F9" w14:textId="598734C0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3E676E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2B510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C913E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postaux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0D971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6AA8E5" w14:textId="1128755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DE3AF9" w14:textId="7FEEA52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893DDF" w14:textId="1E7E714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175E91" w14:textId="08D5673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3B040" w14:textId="428E7CF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100,0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FDD5D57" w14:textId="566E864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2C77E" w14:textId="5182D23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BC1467" w14:textId="3BEDF34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5802AB" w:rsidRPr="005802AB" w14:paraId="55344AA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6C30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44A9F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39ABC5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43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7F7724" w14:textId="5664BDE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101,0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0A6576" w14:textId="1AF8DFA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E3415A" w14:textId="724C8A2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4ED93C" w14:textId="1F6F206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F0ADD6" w14:textId="290EA3C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49B8D2" w14:textId="66DB1A3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440E1C" w14:textId="022A98E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DF607" w14:textId="1539F17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-0,9%</w:t>
            </w:r>
          </w:p>
        </w:tc>
      </w:tr>
      <w:tr w:rsidR="005802AB" w:rsidRPr="005802AB" w14:paraId="08E6A35E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1AA6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083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9356A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téléphonie et de télécopie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6F728C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394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8A3BB3" w14:textId="3D0E7B9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212FDF" w14:textId="3BDFB19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3662CA" w14:textId="0F797B2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78C4FB" w14:textId="5A8FBE0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29DD13" w14:textId="7826E30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3008A" w14:textId="75F5EE6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08716A" w14:textId="4911DCF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F3F40E" w14:textId="72A5492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5802AB" w:rsidRPr="005802AB" w14:paraId="3A3CFE47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15FE61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Loisirs et cultures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CC8FAD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B0C1C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06D8A5" w14:textId="2462C624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B1F441" w14:textId="5C52F5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F431F0" w14:textId="0DD5CA50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2C933C" w14:textId="074AFD65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1956D6" w14:textId="6DC07BC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53B1D" w14:textId="43028DDB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59AC89" w14:textId="747C8B3B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39B8753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C30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DF08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Matériel audiovisuel, photographique et de traitement de l'image et du son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271F3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EA1C25" w14:textId="4DE7D71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467902" w14:textId="776F5DE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9CF2BB" w14:textId="70CDA0B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18C1D6" w14:textId="1922FB7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D0D050" w14:textId="5A482F7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D44EEC" w14:textId="1DA65BC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E4A6FA" w14:textId="66E82D8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E6863C" w14:textId="065608E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1,7%</w:t>
            </w:r>
          </w:p>
        </w:tc>
      </w:tr>
      <w:tr w:rsidR="005802AB" w:rsidRPr="005802AB" w14:paraId="70A14D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760C35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BF3ACC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Autres articles et matériel de loisirs, de jardinage et animaux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F9388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0B7FC8" w14:textId="4EB676C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31D80C" w14:textId="79C66F1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3A2DA2" w14:textId="5B38C16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103,6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F581A2" w14:textId="2D1759F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E7AFF43" w14:textId="56B44A1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118,5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9F9E42" w14:textId="498791F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14,6%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7198E" w14:textId="5C4AE84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EC0C50" w14:textId="2B089D7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14,7%</w:t>
            </w:r>
          </w:p>
        </w:tc>
      </w:tr>
      <w:tr w:rsidR="005802AB" w:rsidRPr="005802AB" w14:paraId="67173AF3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384AE6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9E61D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récréatifs et culturels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1CAB41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E2CC42" w14:textId="4B79A09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DC2CC2E" w14:textId="43733D0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FD023" w14:textId="3863B2D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8096DE" w14:textId="6848DD7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28BFC8" w14:textId="41B0BD4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521C53" w14:textId="2435572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154644" w14:textId="022BFEE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355554" w14:textId="3ED3C01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5802AB" w:rsidRPr="005802AB" w14:paraId="04EC94E9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D686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DAEF0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Journaux, livres et articles de papeterie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103DC1" w14:textId="77777777" w:rsidR="005802AB" w:rsidRPr="000B07EF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117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1DD729" w14:textId="2ACC916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D43160" w14:textId="7CAC5C4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576FA34" w14:textId="534BB1B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106,4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697DEC" w14:textId="7B3F8DD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10A930" w14:textId="76FF018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378A33" w14:textId="78890B7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BDB8CB" w14:textId="1E6862B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671DBC" w14:textId="6E1A7A0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3,9%</w:t>
            </w:r>
          </w:p>
        </w:tc>
      </w:tr>
      <w:tr w:rsidR="005802AB" w:rsidRPr="005802AB" w14:paraId="782E29E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9596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096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889FE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Forfaits touristiques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6C7EE6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D1DB1" w14:textId="091B803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125,8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78C481" w14:textId="2D5F0EF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173AFD" w14:textId="74E8415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3EE99A" w14:textId="10103ED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94B626" w14:textId="5D61F6F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127,1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1CBDB9" w14:textId="2897F8B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A74DF4" w14:textId="175864E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66B45" w14:textId="5367D67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1,1%</w:t>
            </w:r>
          </w:p>
        </w:tc>
      </w:tr>
      <w:tr w:rsidR="005802AB" w:rsidRPr="005802AB" w14:paraId="6BD2A8E9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0A7C14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Enseignements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46DA2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2C615D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9FFA09" w14:textId="540A2DD2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80F86" w14:textId="21BBB515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8862DE" w14:textId="6A1E408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45BAAA" w14:textId="51A20FBB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16C156" w14:textId="7A375309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03AED9" w14:textId="4ABB59B5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5793EC" w14:textId="4CA38C6F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0E6BC83C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A6ED3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7AA35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Enseignement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pré-élémentaire</w:t>
            </w:r>
            <w:proofErr w:type="spellEnd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 et primaire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796874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162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A902A1" w14:textId="33A8786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108,2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D6C82E" w14:textId="3B2C4EF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CA89EB" w14:textId="24525D6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19C3ED" w14:textId="6E0021E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E46D9" w14:textId="4154C05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109,8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70AE1A" w14:textId="73D0BBD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3E8EB" w14:textId="4EF8D8F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1,9%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9B7887" w14:textId="39F1E66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1,5%</w:t>
            </w:r>
          </w:p>
        </w:tc>
      </w:tr>
      <w:tr w:rsidR="005802AB" w:rsidRPr="005802AB" w14:paraId="7382AE00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ED5C91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051E6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secondaire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6C8607" w14:textId="77777777" w:rsidR="005802AB" w:rsidRPr="000B07EF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0B07EF">
              <w:rPr>
                <w:rFonts w:ascii="Times New Roman" w:hAnsi="Times New Roman" w:cs="Times New Roman"/>
                <w:b/>
                <w:sz w:val="14"/>
                <w:szCs w:val="14"/>
              </w:rPr>
              <w:t>230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E72E3" w14:textId="753D139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99,9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6A5F14" w14:textId="17F4932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CE82B1" w14:textId="48D7199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78A6E0" w14:textId="6053534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A6D2D8" w14:textId="7FA446E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35880" w14:textId="45F0D93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296EA8A" w14:textId="366F105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0,4%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2B060E9" w14:textId="1A013D9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1,8%</w:t>
            </w:r>
          </w:p>
        </w:tc>
      </w:tr>
      <w:tr w:rsidR="005802AB" w:rsidRPr="005802AB" w14:paraId="28C29C26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A215F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F1E97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supérieur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05620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106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8F1C03" w14:textId="6CA810C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3254AA" w14:textId="3BCF36C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E6D2BB" w14:textId="1D3C0A9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2F02A9" w14:textId="13FE4FB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985E61C" w14:textId="2CC0186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100,5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99C69" w14:textId="0B2A1D2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5232A1" w14:textId="46E2E7E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6CECBA" w14:textId="2381584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5802AB" w:rsidRPr="005802AB" w14:paraId="3D25FF72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ED2BF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105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BC1AC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Enseignement post-secondaire non supérieur et Enseignement non défini par niveau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5C877B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66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C65A31" w14:textId="616623F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106,6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E1D8" w14:textId="07DC182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AADF5A" w14:textId="4363FE9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76F43" w14:textId="0E372C1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8448EF" w14:textId="2F9DBAB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109,7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EF2BB" w14:textId="22F0A58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2DE15" w14:textId="6C97FA4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6E7FB5" w14:textId="018D54D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2,9%</w:t>
            </w:r>
          </w:p>
        </w:tc>
      </w:tr>
      <w:tr w:rsidR="005802AB" w:rsidRPr="005802AB" w14:paraId="6285877C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59732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Restaurants et hôtel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4650C0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ABB0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8B8C40" w14:textId="6D048688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906344" w14:textId="52F66306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3D16D3" w14:textId="63759133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A15E84" w14:textId="1076D17C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B3BAD4" w14:textId="304935E5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133ECB" w14:textId="793A4296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5CBB2D" w14:textId="2C003295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2727649A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AB8D98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63C920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de restauration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7A059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1129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3F5A5C" w14:textId="29C4EFCD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104,7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7A6811" w14:textId="6EFF8A0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F73C8D" w14:textId="3FBB5AF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104,2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DAC80A" w14:textId="3A086FF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104,4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38E0CE" w14:textId="1CA968C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150905" w14:textId="668F2CB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07B18D" w14:textId="0C55931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33328E" w14:textId="748F639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-0,2%</w:t>
            </w:r>
          </w:p>
        </w:tc>
      </w:tr>
      <w:tr w:rsidR="005802AB" w:rsidRPr="005802AB" w14:paraId="56C322D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F08592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112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108B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d'hébergement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8CDD8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27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FD9E21" w14:textId="796804A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A8167B" w14:textId="621B38A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7332E4" w14:textId="0BAF311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103,1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74363D" w14:textId="5DF0FDE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101,1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517ABC" w14:textId="7565776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103,3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DE3719" w14:textId="1CAF0CB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2,2%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F4616C" w14:textId="2A0BC2B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4A2D93" w14:textId="5972FB9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2,0%</w:t>
            </w:r>
          </w:p>
        </w:tc>
      </w:tr>
      <w:tr w:rsidR="005802AB" w:rsidRPr="005802AB" w14:paraId="56D4EDAE" w14:textId="77777777" w:rsidTr="00445166">
        <w:trPr>
          <w:trHeight w:val="180"/>
          <w:jc w:val="center"/>
        </w:trPr>
        <w:tc>
          <w:tcPr>
            <w:tcW w:w="42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1D568C" w14:textId="77777777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Biens et services divers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8DFFAA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960F8C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DF5231" w14:textId="363A54CA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60DDAC" w14:textId="2BEB0444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24C7FA" w14:textId="55208711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8C060" w14:textId="4DECE1E1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B98F4C5" w14:textId="579E738E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F317DC" w14:textId="19D2799E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E73B26" w14:textId="51999D40" w:rsidR="005802AB" w:rsidRPr="005802AB" w:rsidRDefault="005802AB" w:rsidP="005802AB">
            <w:pPr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 </w:t>
            </w:r>
          </w:p>
        </w:tc>
      </w:tr>
      <w:tr w:rsidR="005802AB" w:rsidRPr="005802AB" w14:paraId="35E818D7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F13FD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121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E9A56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Soins corporels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3D5C0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281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97BC7A4" w14:textId="6323E5C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112,4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A6D4D0" w14:textId="2A225D5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113,4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3F2188" w14:textId="78ABBD7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114,9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F61C86" w14:textId="7E61822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116,0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B10A68" w14:textId="6FD4F78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117,6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E92DCC" w14:textId="59F14839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1,4%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8EA1E1" w14:textId="16F40D0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3,8%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E52C7A" w14:textId="120E633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4,7%</w:t>
            </w:r>
          </w:p>
        </w:tc>
      </w:tr>
      <w:tr w:rsidR="005802AB" w:rsidRPr="005802AB" w14:paraId="64A8CF4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DC5C0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6821D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Effets personnels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  <w:r w:rsidRPr="005802AB">
              <w:rPr>
                <w:rFonts w:ascii="Times New Roman" w:hAnsi="Times New Roman" w:cs="Times New Roman"/>
                <w:sz w:val="14"/>
                <w:szCs w:val="14"/>
                <w:vertAlign w:val="superscript"/>
              </w:rPr>
              <w:t>*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9C02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30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1FBB1F8" w14:textId="5E3DBCE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104,5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E76E9C" w14:textId="4912449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8AFF49" w14:textId="46892BDC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107,0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70583B" w14:textId="03F332C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106,9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F59890" w14:textId="1DD7939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107,2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BEAB0F0" w14:textId="67A93BE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0,3%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92E538" w14:textId="782BE187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0,2%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705CE7" w14:textId="00DAB8E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2,6%</w:t>
            </w:r>
          </w:p>
        </w:tc>
      </w:tr>
      <w:tr w:rsidR="005802AB" w:rsidRPr="005802AB" w14:paraId="27DC5FAB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259E74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3CAE0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Protection sociale et assurance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DB70A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5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993A258" w14:textId="6AE86746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91,4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7EE25" w14:textId="496C86E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07FC06" w14:textId="2388E48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5C5251" w14:textId="538C163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CEA29F" w14:textId="310E528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91,5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41AC9E" w14:textId="150441C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87F0CF" w14:textId="719F785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72DECA6" w14:textId="3DACAABE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0,1%</w:t>
            </w:r>
          </w:p>
        </w:tc>
      </w:tr>
      <w:tr w:rsidR="005802AB" w:rsidRPr="005802AB" w14:paraId="6679393D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4EE1E9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126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3D89BB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Services financiers</w:t>
            </w:r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D9757F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19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7D4334" w14:textId="54203A1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881955" w14:textId="144BE01A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407385" w14:textId="7ED6581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9CA483" w14:textId="3FA9227F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5FFE59" w14:textId="6A54A90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102,9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1AD5E1E" w14:textId="768BCE3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00912C" w14:textId="6FA1590B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E0A97" w14:textId="467D302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</w:tr>
      <w:tr w:rsidR="005802AB" w:rsidRPr="005802AB" w14:paraId="54196BCF" w14:textId="77777777" w:rsidTr="00445166">
        <w:trPr>
          <w:trHeight w:val="180"/>
          <w:jc w:val="center"/>
        </w:trPr>
        <w:tc>
          <w:tcPr>
            <w:tcW w:w="6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5D910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127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516FA" w14:textId="77777777" w:rsidR="005802AB" w:rsidRPr="005802AB" w:rsidRDefault="005802AB" w:rsidP="005802A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sz w:val="14"/>
                <w:szCs w:val="14"/>
              </w:rPr>
              <w:t xml:space="preserve">Autres services </w:t>
            </w:r>
            <w:proofErr w:type="spellStart"/>
            <w:r w:rsidRPr="005802AB">
              <w:rPr>
                <w:rFonts w:ascii="Times New Roman" w:hAnsi="Times New Roman" w:cs="Times New Roman"/>
                <w:sz w:val="14"/>
                <w:szCs w:val="14"/>
              </w:rPr>
              <w:t>n.c.a</w:t>
            </w:r>
            <w:proofErr w:type="spellEnd"/>
          </w:p>
        </w:tc>
        <w:tc>
          <w:tcPr>
            <w:tcW w:w="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3F3854" w14:textId="77777777" w:rsidR="005802AB" w:rsidRPr="005802AB" w:rsidRDefault="005802AB" w:rsidP="005802AB">
            <w:pPr>
              <w:jc w:val="center"/>
              <w:rPr>
                <w:rFonts w:ascii="Times New Roman" w:hAnsi="Times New Roman" w:cs="Times New Roman"/>
                <w:b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b/>
                <w:sz w:val="14"/>
                <w:szCs w:val="14"/>
              </w:rPr>
              <w:t>158</w:t>
            </w:r>
          </w:p>
        </w:tc>
        <w:tc>
          <w:tcPr>
            <w:tcW w:w="6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60E19C" w14:textId="361C1475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97,3</w:t>
            </w:r>
          </w:p>
        </w:tc>
        <w:tc>
          <w:tcPr>
            <w:tcW w:w="83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BD126" w14:textId="16C7DA73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8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53707B" w14:textId="7E716812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102,8</w:t>
            </w:r>
          </w:p>
        </w:tc>
        <w:tc>
          <w:tcPr>
            <w:tcW w:w="6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0EE019" w14:textId="5C9762B8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B7E883" w14:textId="0DB811E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105,2</w:t>
            </w:r>
          </w:p>
        </w:tc>
        <w:tc>
          <w:tcPr>
            <w:tcW w:w="6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5FDABC" w14:textId="371FF094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0,0%</w:t>
            </w:r>
          </w:p>
        </w:tc>
        <w:tc>
          <w:tcPr>
            <w:tcW w:w="758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571C69" w14:textId="12B88EB0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2,3%</w:t>
            </w: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E9D83E" w14:textId="2AAD3B61" w:rsidR="005802AB" w:rsidRPr="005802AB" w:rsidRDefault="005802AB" w:rsidP="005802AB">
            <w:pPr>
              <w:jc w:val="right"/>
              <w:rPr>
                <w:rFonts w:ascii="Times New Roman" w:hAnsi="Times New Roman" w:cs="Times New Roman"/>
                <w:color w:val="000000"/>
                <w:sz w:val="14"/>
                <w:szCs w:val="14"/>
              </w:rPr>
            </w:pPr>
            <w:r w:rsidRPr="005802AB">
              <w:rPr>
                <w:rFonts w:ascii="Times New Roman" w:hAnsi="Times New Roman" w:cs="Times New Roman"/>
                <w:color w:val="000000"/>
                <w:sz w:val="14"/>
                <w:szCs w:val="14"/>
              </w:rPr>
              <w:t>8,0%</w:t>
            </w:r>
          </w:p>
        </w:tc>
      </w:tr>
    </w:tbl>
    <w:p w14:paraId="6E49C142" w14:textId="77777777" w:rsidR="00596EF6" w:rsidRPr="00F4774D" w:rsidRDefault="003671B8" w:rsidP="003671B8">
      <w:pPr>
        <w:spacing w:before="120"/>
        <w:rPr>
          <w:rFonts w:ascii="Times New Roman" w:hAnsi="Times New Roman" w:cs="Times New Roman"/>
          <w:sz w:val="14"/>
          <w:szCs w:val="14"/>
        </w:rPr>
      </w:pPr>
      <w:r w:rsidRPr="00F4774D">
        <w:rPr>
          <w:rFonts w:ascii="Times New Roman" w:hAnsi="Times New Roman" w:cs="Times New Roman"/>
          <w:sz w:val="12"/>
          <w:szCs w:val="12"/>
        </w:rPr>
        <w:t>*</w:t>
      </w:r>
      <w:proofErr w:type="spellStart"/>
      <w:r w:rsidRPr="00F4774D">
        <w:rPr>
          <w:rFonts w:ascii="Times New Roman" w:hAnsi="Times New Roman" w:cs="Times New Roman"/>
          <w:sz w:val="14"/>
          <w:szCs w:val="14"/>
        </w:rPr>
        <w:t>n.c.a</w:t>
      </w:r>
      <w:proofErr w:type="spellEnd"/>
      <w:r w:rsidRPr="00F4774D">
        <w:rPr>
          <w:rFonts w:ascii="Times New Roman" w:hAnsi="Times New Roman" w:cs="Times New Roman"/>
          <w:sz w:val="14"/>
          <w:szCs w:val="14"/>
        </w:rPr>
        <w:t> : non classés ailleurs.</w:t>
      </w:r>
    </w:p>
    <w:p w14:paraId="6051EE19" w14:textId="1185B668" w:rsidR="004A7335" w:rsidRDefault="003671B8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  <w:r w:rsidRPr="00F4774D">
        <w:rPr>
          <w:rFonts w:ascii="Times New Roman" w:hAnsi="Times New Roman" w:cs="Times New Roman"/>
          <w:bCs/>
          <w:sz w:val="16"/>
          <w:szCs w:val="16"/>
          <w:u w:val="single"/>
        </w:rPr>
        <w:t>Source</w:t>
      </w:r>
      <w:r w:rsidR="00910B3F">
        <w:rPr>
          <w:rFonts w:ascii="Times New Roman" w:hAnsi="Times New Roman" w:cs="Times New Roman"/>
          <w:bCs/>
          <w:sz w:val="16"/>
          <w:szCs w:val="16"/>
        </w:rPr>
        <w:t xml:space="preserve"> : 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INStaD/DCNSE, </w:t>
      </w:r>
      <w:r w:rsidR="005C0071">
        <w:rPr>
          <w:rFonts w:ascii="Times New Roman" w:hAnsi="Times New Roman" w:cs="Times New Roman"/>
          <w:bCs/>
          <w:sz w:val="16"/>
          <w:szCs w:val="16"/>
        </w:rPr>
        <w:t>décembre</w:t>
      </w:r>
      <w:r w:rsidR="008A3165">
        <w:rPr>
          <w:rFonts w:ascii="Times New Roman" w:hAnsi="Times New Roman" w:cs="Times New Roman"/>
          <w:bCs/>
          <w:sz w:val="16"/>
          <w:szCs w:val="16"/>
        </w:rPr>
        <w:t xml:space="preserve"> 2022</w:t>
      </w:r>
    </w:p>
    <w:p w14:paraId="7FD74B4F" w14:textId="77777777" w:rsidR="00F74D76" w:rsidRPr="00AD0E64" w:rsidRDefault="00F74D76" w:rsidP="003671B8">
      <w:pPr>
        <w:spacing w:before="120"/>
        <w:rPr>
          <w:rFonts w:ascii="Times New Roman" w:hAnsi="Times New Roman" w:cs="Times New Roman"/>
          <w:bCs/>
          <w:sz w:val="16"/>
          <w:szCs w:val="16"/>
        </w:rPr>
      </w:pPr>
    </w:p>
    <w:p w14:paraId="42281A63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  <w:r w:rsidRPr="00EF65B5">
        <w:rPr>
          <w:rFonts w:ascii="Times New Roman" w:hAnsi="Times New Roman" w:cs="Times New Roman"/>
          <w:b/>
          <w:bCs/>
          <w:sz w:val="16"/>
          <w:szCs w:val="16"/>
        </w:rPr>
        <w:t>Institut National de la Statis</w:t>
      </w:r>
      <w:r w:rsidR="00F30DB9">
        <w:rPr>
          <w:rFonts w:ascii="Times New Roman" w:hAnsi="Times New Roman" w:cs="Times New Roman"/>
          <w:b/>
          <w:bCs/>
          <w:sz w:val="16"/>
          <w:szCs w:val="16"/>
        </w:rPr>
        <w:t>tique et de la Démographie</w:t>
      </w:r>
    </w:p>
    <w:p w14:paraId="1789119F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</w:rPr>
      </w:pPr>
    </w:p>
    <w:p w14:paraId="0075C972" w14:textId="77777777" w:rsidR="003671B8" w:rsidRPr="00EF65B5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>01 BP 323 Cotonou, Tél. (229) 21 30 82 44 /21 30 82 45, Fax: (229) 21 30 82 46</w:t>
      </w:r>
    </w:p>
    <w:p w14:paraId="41BDD53C" w14:textId="77777777" w:rsidR="003671B8" w:rsidRDefault="003671B8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 w:rsidRPr="00EF65B5">
        <w:rPr>
          <w:rFonts w:ascii="Times New Roman" w:hAnsi="Times New Roman" w:cs="Times New Roman"/>
          <w:sz w:val="16"/>
          <w:szCs w:val="16"/>
        </w:rPr>
        <w:t xml:space="preserve">Directeur Général : HOUNSA </w:t>
      </w:r>
      <w:r w:rsidR="00B932C1" w:rsidRPr="00EF65B5">
        <w:rPr>
          <w:rFonts w:ascii="Times New Roman" w:hAnsi="Times New Roman" w:cs="Times New Roman"/>
          <w:sz w:val="16"/>
          <w:szCs w:val="16"/>
        </w:rPr>
        <w:t>Laurent</w:t>
      </w:r>
      <w:r w:rsidR="00004991">
        <w:rPr>
          <w:rFonts w:ascii="Times New Roman" w:hAnsi="Times New Roman" w:cs="Times New Roman"/>
          <w:sz w:val="16"/>
          <w:szCs w:val="16"/>
        </w:rPr>
        <w:t xml:space="preserve"> </w:t>
      </w:r>
      <w:r w:rsidR="00004991" w:rsidRPr="00EF65B5">
        <w:rPr>
          <w:rFonts w:ascii="Times New Roman" w:hAnsi="Times New Roman" w:cs="Times New Roman"/>
          <w:sz w:val="16"/>
          <w:szCs w:val="16"/>
        </w:rPr>
        <w:t>Mahounou</w:t>
      </w:r>
    </w:p>
    <w:p w14:paraId="2AAA28D4" w14:textId="77777777" w:rsidR="00360546" w:rsidRDefault="0036054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outlineLvl w:val="0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 Général Adjoint : DAGA Jules</w:t>
      </w:r>
    </w:p>
    <w:p w14:paraId="0F96E124" w14:textId="60A60BFD" w:rsidR="003671B8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Directeur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>de la Comptabilité Nationale et de</w:t>
      </w:r>
      <w:r w:rsidR="008B4E50">
        <w:rPr>
          <w:rFonts w:ascii="Times New Roman" w:hAnsi="Times New Roman" w:cs="Times New Roman"/>
          <w:sz w:val="16"/>
          <w:szCs w:val="16"/>
        </w:rPr>
        <w:t xml:space="preserve">s Statistiques Economiques </w:t>
      </w:r>
      <w:r>
        <w:rPr>
          <w:rFonts w:ascii="Times New Roman" w:hAnsi="Times New Roman" w:cs="Times New Roman"/>
          <w:sz w:val="16"/>
          <w:szCs w:val="16"/>
        </w:rPr>
        <w:t xml:space="preserve">: </w:t>
      </w:r>
      <w:r w:rsidR="00264729">
        <w:rPr>
          <w:rFonts w:ascii="Times New Roman" w:hAnsi="Times New Roman" w:cs="Times New Roman"/>
          <w:sz w:val="16"/>
          <w:szCs w:val="16"/>
        </w:rPr>
        <w:t>ESSESSINOU Aboudou Raïmi</w:t>
      </w:r>
    </w:p>
    <w:p w14:paraId="1E93E8C8" w14:textId="165518D7" w:rsidR="00D91FDB" w:rsidRDefault="005B28E1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Directeur des </w:t>
      </w:r>
      <w:r w:rsidR="002D7B35">
        <w:rPr>
          <w:rFonts w:ascii="Times New Roman" w:hAnsi="Times New Roman" w:cs="Times New Roman"/>
          <w:sz w:val="16"/>
          <w:szCs w:val="16"/>
        </w:rPr>
        <w:t>Systèmes d’Information et des Bases de Données : CHOGNIKA Eudes Ildevert</w:t>
      </w:r>
    </w:p>
    <w:p w14:paraId="72AFDB3C" w14:textId="710A125E" w:rsidR="005802AB" w:rsidRPr="00EF65B5" w:rsidRDefault="005802AB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tabs>
          <w:tab w:val="left" w:pos="2835"/>
        </w:tabs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Chef du Service des Statistiques Conjoncturelles : BANON Symphorien</w:t>
      </w:r>
    </w:p>
    <w:p w14:paraId="2A47DD46" w14:textId="77777777" w:rsidR="004A7335" w:rsidRPr="00EF65B5" w:rsidRDefault="00596EF6" w:rsidP="003671B8">
      <w:pPr>
        <w:pBdr>
          <w:top w:val="single" w:sz="18" w:space="0" w:color="auto" w:shadow="1"/>
          <w:left w:val="single" w:sz="18" w:space="1" w:color="auto" w:shadow="1"/>
          <w:bottom w:val="single" w:sz="18" w:space="3" w:color="auto" w:shadow="1"/>
          <w:right w:val="single" w:sz="18" w:space="7" w:color="auto" w:shadow="1"/>
        </w:pBdr>
        <w:spacing w:line="276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Collaborateurs</w:t>
      </w:r>
      <w:r w:rsidR="003671B8" w:rsidRPr="00EF65B5">
        <w:rPr>
          <w:rFonts w:ascii="Times New Roman" w:hAnsi="Times New Roman" w:cs="Times New Roman"/>
          <w:sz w:val="16"/>
          <w:szCs w:val="16"/>
        </w:rPr>
        <w:t> : DANSOU</w:t>
      </w:r>
      <w:r w:rsidR="00EF65B5">
        <w:rPr>
          <w:rFonts w:ascii="Times New Roman" w:hAnsi="Times New Roman" w:cs="Times New Roman"/>
          <w:sz w:val="16"/>
          <w:szCs w:val="16"/>
        </w:rPr>
        <w:t xml:space="preserve"> A. T.</w:t>
      </w:r>
      <w:r w:rsidR="003671B8" w:rsidRPr="00EF65B5">
        <w:rPr>
          <w:rFonts w:ascii="Times New Roman" w:hAnsi="Times New Roman" w:cs="Times New Roman"/>
          <w:sz w:val="16"/>
          <w:szCs w:val="16"/>
        </w:rPr>
        <w:t xml:space="preserve"> Sylvestre</w:t>
      </w:r>
      <w:r>
        <w:rPr>
          <w:rFonts w:ascii="Times New Roman" w:hAnsi="Times New Roman" w:cs="Times New Roman"/>
          <w:sz w:val="16"/>
          <w:szCs w:val="16"/>
        </w:rPr>
        <w:t xml:space="preserve"> et ELAVAGNON François</w:t>
      </w:r>
    </w:p>
    <w:sectPr w:rsidR="004A7335" w:rsidRPr="00EF65B5" w:rsidSect="007065EA">
      <w:footerReference w:type="default" r:id="rId13"/>
      <w:headerReference w:type="first" r:id="rId14"/>
      <w:footerReference w:type="first" r:id="rId15"/>
      <w:pgSz w:w="11906" w:h="16838"/>
      <w:pgMar w:top="709" w:right="1134" w:bottom="993" w:left="1134" w:header="0" w:footer="17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80EA181" w14:textId="77777777" w:rsidR="002F1288" w:rsidRDefault="002F1288">
      <w:r>
        <w:separator/>
      </w:r>
    </w:p>
  </w:endnote>
  <w:endnote w:type="continuationSeparator" w:id="0">
    <w:p w14:paraId="16A22824" w14:textId="77777777" w:rsidR="002F1288" w:rsidRDefault="002F12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Text">
    <w:panose1 w:val="02000505000000020004"/>
    <w:charset w:val="00"/>
    <w:family w:val="auto"/>
    <w:pitch w:val="variable"/>
    <w:sig w:usb0="A00002EF" w:usb1="40002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3CE508" w14:textId="77777777" w:rsidR="0003639B" w:rsidRDefault="0003639B" w:rsidP="00343425">
    <w:pPr>
      <w:pStyle w:val="Pieddepage"/>
      <w:jc w:val="center"/>
      <w:rPr>
        <w:noProof/>
        <w:lang w:eastAsia="fr-FR"/>
      </w:rPr>
    </w:pPr>
    <w:r>
      <w:rPr>
        <w:noProof/>
        <w:lang w:eastAsia="fr-FR"/>
      </w:rPr>
      <w:t xml:space="preserve">                                                                                                                                                                                                                </w:t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916574">
      <w:rPr>
        <w:noProof/>
      </w:rPr>
      <w:t>6</w:t>
    </w:r>
    <w:r w:rsidRPr="00AC575B">
      <w:rPr>
        <w:lang w:val="en-US"/>
      </w:rPr>
      <w:fldChar w:fldCharType="end"/>
    </w:r>
    <w:r w:rsidRPr="00465EB2">
      <w:t>]</w:t>
    </w:r>
  </w:p>
  <w:p w14:paraId="732B3295" w14:textId="77777777" w:rsidR="0003639B" w:rsidRDefault="0003639B">
    <w:pPr>
      <w:pStyle w:val="Pieddepage"/>
    </w:pPr>
    <w:r>
      <w:rPr>
        <w:noProof/>
        <w:lang w:eastAsia="fr-FR"/>
      </w:rPr>
      <w:drawing>
        <wp:inline distT="0" distB="0" distL="0" distR="0" wp14:anchorId="24E025A5" wp14:editId="4610FB6A">
          <wp:extent cx="6104502" cy="476250"/>
          <wp:effectExtent l="0" t="0" r="0" b="0"/>
          <wp:docPr id="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CCF8F4" w14:textId="77777777" w:rsidR="0003639B" w:rsidRDefault="0003639B" w:rsidP="007877BD">
    <w:pPr>
      <w:pStyle w:val="Pieddepage"/>
      <w:tabs>
        <w:tab w:val="left" w:pos="4035"/>
        <w:tab w:val="right" w:pos="9638"/>
      </w:tabs>
    </w:pPr>
    <w:r>
      <w:tab/>
    </w:r>
    <w:r>
      <w:tab/>
    </w:r>
    <w:r>
      <w:tab/>
    </w:r>
    <w:r>
      <w:tab/>
    </w:r>
    <w:r w:rsidRPr="00465EB2">
      <w:t>[</w:t>
    </w:r>
    <w:r w:rsidRPr="00AC575B">
      <w:rPr>
        <w:lang w:val="en-US"/>
      </w:rPr>
      <w:fldChar w:fldCharType="begin"/>
    </w:r>
    <w:r w:rsidRPr="00465EB2">
      <w:instrText>PAGE   \* MERGEFORMAT</w:instrText>
    </w:r>
    <w:r w:rsidRPr="00AC575B">
      <w:rPr>
        <w:lang w:val="en-US"/>
      </w:rPr>
      <w:fldChar w:fldCharType="separate"/>
    </w:r>
    <w:r w:rsidR="00916574">
      <w:rPr>
        <w:noProof/>
      </w:rPr>
      <w:t>1</w:t>
    </w:r>
    <w:r w:rsidRPr="00AC575B">
      <w:rPr>
        <w:lang w:val="en-US"/>
      </w:rPr>
      <w:fldChar w:fldCharType="end"/>
    </w:r>
    <w:r w:rsidRPr="00465EB2">
      <w:t>]</w:t>
    </w:r>
  </w:p>
  <w:p w14:paraId="46776110" w14:textId="77777777" w:rsidR="0003639B" w:rsidRDefault="0003639B">
    <w:pPr>
      <w:pStyle w:val="Pieddepage"/>
    </w:pPr>
    <w:r>
      <w:rPr>
        <w:noProof/>
        <w:lang w:eastAsia="fr-FR"/>
      </w:rPr>
      <w:drawing>
        <wp:inline distT="0" distB="0" distL="0" distR="0" wp14:anchorId="68A196DB" wp14:editId="1A252C79">
          <wp:extent cx="6104502" cy="476250"/>
          <wp:effectExtent l="0" t="0" r="0" b="0"/>
          <wp:docPr id="82" name="Imag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12239" cy="4924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319E26" w14:textId="77777777" w:rsidR="002F1288" w:rsidRDefault="002F1288">
      <w:r>
        <w:separator/>
      </w:r>
    </w:p>
  </w:footnote>
  <w:footnote w:type="continuationSeparator" w:id="0">
    <w:p w14:paraId="316F94FE" w14:textId="77777777" w:rsidR="002F1288" w:rsidRDefault="002F1288">
      <w:r>
        <w:continuationSeparator/>
      </w:r>
    </w:p>
  </w:footnote>
  <w:footnote w:id="1">
    <w:p w14:paraId="1F27DA6D" w14:textId="7C9177F6" w:rsidR="0003639B" w:rsidRPr="00091BE3" w:rsidRDefault="0003639B" w:rsidP="003671B8">
      <w:pPr>
        <w:pStyle w:val="Notedebasdepage"/>
        <w:rPr>
          <w:sz w:val="16"/>
          <w:szCs w:val="16"/>
        </w:rPr>
      </w:pPr>
      <w:r w:rsidRPr="00EB2CCF">
        <w:rPr>
          <w:rStyle w:val="Appelnotedebasdep"/>
          <w:sz w:val="16"/>
          <w:szCs w:val="16"/>
        </w:rPr>
        <w:footnoteRef/>
      </w:r>
      <w:r w:rsidRPr="00EB2CCF">
        <w:rPr>
          <w:b/>
          <w:sz w:val="16"/>
          <w:szCs w:val="16"/>
        </w:rPr>
        <w:t>L’indicateur de convergence</w:t>
      </w:r>
      <w:r w:rsidRPr="00EB2CCF">
        <w:rPr>
          <w:sz w:val="16"/>
          <w:szCs w:val="16"/>
        </w:rPr>
        <w:t xml:space="preserve"> est le rapport entre la moyenne des indices des douze derniers mois et la moyenne des indices des douze mois qui les précèdent</w:t>
      </w:r>
      <w:r>
        <w:rPr>
          <w:sz w:val="16"/>
          <w:szCs w:val="16"/>
        </w:rPr>
        <w:t xml:space="preserve">. C’est un indicateur qui résulte de 24 mois d’observation des prix </w:t>
      </w:r>
      <w:r w:rsidRPr="00A9235B">
        <w:rPr>
          <w:sz w:val="16"/>
          <w:szCs w:val="16"/>
        </w:rPr>
        <w:t>à</w:t>
      </w:r>
      <w:r>
        <w:rPr>
          <w:sz w:val="16"/>
          <w:szCs w:val="16"/>
        </w:rPr>
        <w:t xml:space="preserve"> la consommation.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Grilledutableau"/>
      <w:tblW w:w="1028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713"/>
      <w:gridCol w:w="5571"/>
    </w:tblGrid>
    <w:tr w:rsidR="0003639B" w14:paraId="24C064E7" w14:textId="77777777" w:rsidTr="000F7B91">
      <w:trPr>
        <w:trHeight w:val="1228"/>
      </w:trPr>
      <w:tc>
        <w:tcPr>
          <w:tcW w:w="4713" w:type="dxa"/>
        </w:tcPr>
        <w:p w14:paraId="5055E16D" w14:textId="77777777" w:rsidR="0003639B" w:rsidRPr="00C70350" w:rsidRDefault="0003639B" w:rsidP="00494DF3">
          <w:pPr>
            <w:pStyle w:val="En-tte"/>
          </w:pPr>
          <w:r>
            <w:rPr>
              <w:noProof/>
              <w:lang w:eastAsia="fr-FR"/>
            </w:rPr>
            <w:drawing>
              <wp:inline distT="0" distB="0" distL="0" distR="0" wp14:anchorId="1489EE7F" wp14:editId="0A8F4193">
                <wp:extent cx="2657475" cy="876300"/>
                <wp:effectExtent l="0" t="0" r="9525" b="0"/>
                <wp:docPr id="80" name="Image 2" descr="Une image contenant texte&#10;&#10;Description générée avec un niveau de confiance très élevé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2" descr="Une image contenant texte&#10;&#10;Description générée avec un niveau de confiance très élevé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57475" cy="876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71" w:type="dxa"/>
        </w:tcPr>
        <w:p w14:paraId="09B5F68E" w14:textId="77777777" w:rsidR="0003639B" w:rsidRDefault="0003639B" w:rsidP="000F7B91">
          <w:pPr>
            <w:pStyle w:val="En-tte"/>
            <w:spacing w:before="240"/>
            <w:jc w:val="right"/>
          </w:pPr>
          <w:r>
            <w:rPr>
              <w:noProof/>
              <w:lang w:eastAsia="fr-FR"/>
            </w:rPr>
            <w:drawing>
              <wp:inline distT="0" distB="0" distL="0" distR="0" wp14:anchorId="34D36A29" wp14:editId="2D9C84DB">
                <wp:extent cx="1579553" cy="842838"/>
                <wp:effectExtent l="0" t="0" r="1905" b="0"/>
                <wp:docPr id="81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30186" cy="869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3EBB80E" w14:textId="77777777" w:rsidR="0003639B" w:rsidRPr="00C70350" w:rsidRDefault="0003639B" w:rsidP="00494DF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6B37A8"/>
    <w:multiLevelType w:val="hybridMultilevel"/>
    <w:tmpl w:val="B5F04A2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FF7127"/>
    <w:multiLevelType w:val="hybridMultilevel"/>
    <w:tmpl w:val="504CFD48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8D16AC"/>
    <w:multiLevelType w:val="hybridMultilevel"/>
    <w:tmpl w:val="F2762F0C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D224B1"/>
    <w:multiLevelType w:val="hybridMultilevel"/>
    <w:tmpl w:val="8EC2352A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233B20"/>
    <w:multiLevelType w:val="hybridMultilevel"/>
    <w:tmpl w:val="F014D140"/>
    <w:lvl w:ilvl="0" w:tplc="53F4202C">
      <w:start w:val="1"/>
      <w:numFmt w:val="bullet"/>
      <w:lvlText w:val="-"/>
      <w:lvlJc w:val="left"/>
      <w:pPr>
        <w:ind w:left="720" w:hanging="360"/>
      </w:pPr>
      <w:rPr>
        <w:rFonts w:ascii="Sitka Text" w:hAnsi="Sitka Tex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03692E"/>
    <w:multiLevelType w:val="hybridMultilevel"/>
    <w:tmpl w:val="C816678E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D9F19A6"/>
    <w:multiLevelType w:val="hybridMultilevel"/>
    <w:tmpl w:val="582A9586"/>
    <w:lvl w:ilvl="0" w:tplc="0284C1FA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4437"/>
    <w:rsid w:val="0000122F"/>
    <w:rsid w:val="000029B6"/>
    <w:rsid w:val="00004991"/>
    <w:rsid w:val="00004B12"/>
    <w:rsid w:val="00006A14"/>
    <w:rsid w:val="00006F6D"/>
    <w:rsid w:val="000070CC"/>
    <w:rsid w:val="00012F54"/>
    <w:rsid w:val="0001468E"/>
    <w:rsid w:val="00015224"/>
    <w:rsid w:val="00016DCE"/>
    <w:rsid w:val="00017FDB"/>
    <w:rsid w:val="000212B8"/>
    <w:rsid w:val="00022509"/>
    <w:rsid w:val="00023BA3"/>
    <w:rsid w:val="00025F0B"/>
    <w:rsid w:val="00030947"/>
    <w:rsid w:val="0003200C"/>
    <w:rsid w:val="000323F2"/>
    <w:rsid w:val="000330F2"/>
    <w:rsid w:val="0003409F"/>
    <w:rsid w:val="00035009"/>
    <w:rsid w:val="0003639B"/>
    <w:rsid w:val="000440EE"/>
    <w:rsid w:val="00047C60"/>
    <w:rsid w:val="00051915"/>
    <w:rsid w:val="00052360"/>
    <w:rsid w:val="000526CE"/>
    <w:rsid w:val="00053949"/>
    <w:rsid w:val="000553AD"/>
    <w:rsid w:val="00056419"/>
    <w:rsid w:val="0006147E"/>
    <w:rsid w:val="00061FFA"/>
    <w:rsid w:val="00062FF2"/>
    <w:rsid w:val="000634D1"/>
    <w:rsid w:val="00070A4E"/>
    <w:rsid w:val="00075822"/>
    <w:rsid w:val="000814FF"/>
    <w:rsid w:val="000833E3"/>
    <w:rsid w:val="00083A4B"/>
    <w:rsid w:val="000875CB"/>
    <w:rsid w:val="00090D30"/>
    <w:rsid w:val="000931EB"/>
    <w:rsid w:val="0009643F"/>
    <w:rsid w:val="000A06CD"/>
    <w:rsid w:val="000A1943"/>
    <w:rsid w:val="000A3786"/>
    <w:rsid w:val="000A386D"/>
    <w:rsid w:val="000A3998"/>
    <w:rsid w:val="000A5B88"/>
    <w:rsid w:val="000A7811"/>
    <w:rsid w:val="000B07EF"/>
    <w:rsid w:val="000B0CBB"/>
    <w:rsid w:val="000B33FD"/>
    <w:rsid w:val="000B537B"/>
    <w:rsid w:val="000C376F"/>
    <w:rsid w:val="000C3B65"/>
    <w:rsid w:val="000C45BD"/>
    <w:rsid w:val="000D0552"/>
    <w:rsid w:val="000D1180"/>
    <w:rsid w:val="000D4642"/>
    <w:rsid w:val="000D6DEB"/>
    <w:rsid w:val="000D71F4"/>
    <w:rsid w:val="000D7DFA"/>
    <w:rsid w:val="000E11C7"/>
    <w:rsid w:val="000E31B9"/>
    <w:rsid w:val="000F0B2D"/>
    <w:rsid w:val="000F0EB8"/>
    <w:rsid w:val="000F25D0"/>
    <w:rsid w:val="000F38EB"/>
    <w:rsid w:val="000F4EC0"/>
    <w:rsid w:val="000F54CE"/>
    <w:rsid w:val="000F7B91"/>
    <w:rsid w:val="001006AD"/>
    <w:rsid w:val="00101AFF"/>
    <w:rsid w:val="00104905"/>
    <w:rsid w:val="00104AC7"/>
    <w:rsid w:val="00115701"/>
    <w:rsid w:val="0012125A"/>
    <w:rsid w:val="00123C7B"/>
    <w:rsid w:val="001336BC"/>
    <w:rsid w:val="001338AA"/>
    <w:rsid w:val="0013425D"/>
    <w:rsid w:val="00134762"/>
    <w:rsid w:val="00135036"/>
    <w:rsid w:val="00136ABB"/>
    <w:rsid w:val="00141765"/>
    <w:rsid w:val="00145E6D"/>
    <w:rsid w:val="0015093E"/>
    <w:rsid w:val="00153194"/>
    <w:rsid w:val="0015436C"/>
    <w:rsid w:val="00154663"/>
    <w:rsid w:val="00154BDD"/>
    <w:rsid w:val="00160525"/>
    <w:rsid w:val="00163421"/>
    <w:rsid w:val="00163EF3"/>
    <w:rsid w:val="00167643"/>
    <w:rsid w:val="0017215B"/>
    <w:rsid w:val="00175B86"/>
    <w:rsid w:val="00177BE9"/>
    <w:rsid w:val="00180608"/>
    <w:rsid w:val="00180E87"/>
    <w:rsid w:val="0018341D"/>
    <w:rsid w:val="00186229"/>
    <w:rsid w:val="001928F0"/>
    <w:rsid w:val="00193395"/>
    <w:rsid w:val="0019394B"/>
    <w:rsid w:val="00194F76"/>
    <w:rsid w:val="00195FF9"/>
    <w:rsid w:val="001A0AB0"/>
    <w:rsid w:val="001A3E20"/>
    <w:rsid w:val="001A4793"/>
    <w:rsid w:val="001A5158"/>
    <w:rsid w:val="001A60CB"/>
    <w:rsid w:val="001A6721"/>
    <w:rsid w:val="001B2909"/>
    <w:rsid w:val="001B7DDB"/>
    <w:rsid w:val="001C17F8"/>
    <w:rsid w:val="001C3A4D"/>
    <w:rsid w:val="001C404B"/>
    <w:rsid w:val="001C5AA1"/>
    <w:rsid w:val="001C6B07"/>
    <w:rsid w:val="001D335C"/>
    <w:rsid w:val="001D3E26"/>
    <w:rsid w:val="001D4796"/>
    <w:rsid w:val="001D48EB"/>
    <w:rsid w:val="001D642F"/>
    <w:rsid w:val="001D72DF"/>
    <w:rsid w:val="001E0781"/>
    <w:rsid w:val="001E285A"/>
    <w:rsid w:val="001E2CC1"/>
    <w:rsid w:val="001E437E"/>
    <w:rsid w:val="001E51E8"/>
    <w:rsid w:val="001E57E9"/>
    <w:rsid w:val="001E72CA"/>
    <w:rsid w:val="001F0528"/>
    <w:rsid w:val="001F128F"/>
    <w:rsid w:val="001F2FE7"/>
    <w:rsid w:val="001F3B63"/>
    <w:rsid w:val="00200463"/>
    <w:rsid w:val="00201797"/>
    <w:rsid w:val="00202821"/>
    <w:rsid w:val="00202859"/>
    <w:rsid w:val="0020465D"/>
    <w:rsid w:val="00205E72"/>
    <w:rsid w:val="00205F6C"/>
    <w:rsid w:val="002068BE"/>
    <w:rsid w:val="00211BED"/>
    <w:rsid w:val="00214D11"/>
    <w:rsid w:val="0021703E"/>
    <w:rsid w:val="0021753D"/>
    <w:rsid w:val="00217CAA"/>
    <w:rsid w:val="002213B9"/>
    <w:rsid w:val="00221DAC"/>
    <w:rsid w:val="00222F57"/>
    <w:rsid w:val="00225C2B"/>
    <w:rsid w:val="002309AB"/>
    <w:rsid w:val="00231744"/>
    <w:rsid w:val="0023290D"/>
    <w:rsid w:val="00235326"/>
    <w:rsid w:val="00235369"/>
    <w:rsid w:val="0023597F"/>
    <w:rsid w:val="00235D05"/>
    <w:rsid w:val="002370EA"/>
    <w:rsid w:val="00237E9B"/>
    <w:rsid w:val="00240F78"/>
    <w:rsid w:val="00245926"/>
    <w:rsid w:val="00247483"/>
    <w:rsid w:val="00255583"/>
    <w:rsid w:val="00255646"/>
    <w:rsid w:val="00260480"/>
    <w:rsid w:val="00261DF3"/>
    <w:rsid w:val="00262D3A"/>
    <w:rsid w:val="00262FDD"/>
    <w:rsid w:val="00264729"/>
    <w:rsid w:val="00265809"/>
    <w:rsid w:val="00265AC1"/>
    <w:rsid w:val="002661DB"/>
    <w:rsid w:val="0027367F"/>
    <w:rsid w:val="00274873"/>
    <w:rsid w:val="00277AFC"/>
    <w:rsid w:val="0028055D"/>
    <w:rsid w:val="00281B7E"/>
    <w:rsid w:val="00286945"/>
    <w:rsid w:val="00286CEB"/>
    <w:rsid w:val="00287418"/>
    <w:rsid w:val="00287649"/>
    <w:rsid w:val="00291A07"/>
    <w:rsid w:val="00293CE1"/>
    <w:rsid w:val="00294508"/>
    <w:rsid w:val="00294AFB"/>
    <w:rsid w:val="002967E0"/>
    <w:rsid w:val="00296835"/>
    <w:rsid w:val="002A075E"/>
    <w:rsid w:val="002A07FE"/>
    <w:rsid w:val="002A5C1C"/>
    <w:rsid w:val="002A775F"/>
    <w:rsid w:val="002A7C82"/>
    <w:rsid w:val="002C1DBE"/>
    <w:rsid w:val="002C4BBA"/>
    <w:rsid w:val="002C6839"/>
    <w:rsid w:val="002C6FB5"/>
    <w:rsid w:val="002C7CB9"/>
    <w:rsid w:val="002D6D02"/>
    <w:rsid w:val="002D7B35"/>
    <w:rsid w:val="002E0595"/>
    <w:rsid w:val="002E07B4"/>
    <w:rsid w:val="002E1050"/>
    <w:rsid w:val="002E26B4"/>
    <w:rsid w:val="002E3043"/>
    <w:rsid w:val="002E6D00"/>
    <w:rsid w:val="002E7D41"/>
    <w:rsid w:val="002F1288"/>
    <w:rsid w:val="002F302E"/>
    <w:rsid w:val="002F7B1C"/>
    <w:rsid w:val="003022A6"/>
    <w:rsid w:val="003030A5"/>
    <w:rsid w:val="003041DF"/>
    <w:rsid w:val="0030459A"/>
    <w:rsid w:val="003054EA"/>
    <w:rsid w:val="00305A56"/>
    <w:rsid w:val="00306DD6"/>
    <w:rsid w:val="0030704E"/>
    <w:rsid w:val="00312204"/>
    <w:rsid w:val="00312227"/>
    <w:rsid w:val="00313846"/>
    <w:rsid w:val="003237F5"/>
    <w:rsid w:val="003256CC"/>
    <w:rsid w:val="003278D4"/>
    <w:rsid w:val="00331B85"/>
    <w:rsid w:val="003325FE"/>
    <w:rsid w:val="00332968"/>
    <w:rsid w:val="00333229"/>
    <w:rsid w:val="00334266"/>
    <w:rsid w:val="0033692A"/>
    <w:rsid w:val="00336A6A"/>
    <w:rsid w:val="00340315"/>
    <w:rsid w:val="0034156F"/>
    <w:rsid w:val="00343425"/>
    <w:rsid w:val="00343876"/>
    <w:rsid w:val="003442C0"/>
    <w:rsid w:val="00344C55"/>
    <w:rsid w:val="003460E8"/>
    <w:rsid w:val="00352E34"/>
    <w:rsid w:val="00356638"/>
    <w:rsid w:val="00356D08"/>
    <w:rsid w:val="00360546"/>
    <w:rsid w:val="00361E3F"/>
    <w:rsid w:val="00362FA1"/>
    <w:rsid w:val="0036400F"/>
    <w:rsid w:val="00364437"/>
    <w:rsid w:val="00365077"/>
    <w:rsid w:val="00365500"/>
    <w:rsid w:val="003671B8"/>
    <w:rsid w:val="00367DC9"/>
    <w:rsid w:val="00374731"/>
    <w:rsid w:val="00374C26"/>
    <w:rsid w:val="00375101"/>
    <w:rsid w:val="003758AD"/>
    <w:rsid w:val="00381B2A"/>
    <w:rsid w:val="003851CA"/>
    <w:rsid w:val="0038767B"/>
    <w:rsid w:val="0039225F"/>
    <w:rsid w:val="00393E09"/>
    <w:rsid w:val="00394056"/>
    <w:rsid w:val="0039408A"/>
    <w:rsid w:val="003944B7"/>
    <w:rsid w:val="00397433"/>
    <w:rsid w:val="00397D09"/>
    <w:rsid w:val="003A15C4"/>
    <w:rsid w:val="003A1ABA"/>
    <w:rsid w:val="003A3B47"/>
    <w:rsid w:val="003A497A"/>
    <w:rsid w:val="003A5639"/>
    <w:rsid w:val="003A7171"/>
    <w:rsid w:val="003A7762"/>
    <w:rsid w:val="003B1E9B"/>
    <w:rsid w:val="003B2576"/>
    <w:rsid w:val="003B48B9"/>
    <w:rsid w:val="003B4A37"/>
    <w:rsid w:val="003B5C79"/>
    <w:rsid w:val="003B5E98"/>
    <w:rsid w:val="003B60B3"/>
    <w:rsid w:val="003B69F2"/>
    <w:rsid w:val="003B71E3"/>
    <w:rsid w:val="003B7426"/>
    <w:rsid w:val="003C1DEE"/>
    <w:rsid w:val="003C2A0D"/>
    <w:rsid w:val="003C340A"/>
    <w:rsid w:val="003C343B"/>
    <w:rsid w:val="003C5BF1"/>
    <w:rsid w:val="003D1F89"/>
    <w:rsid w:val="003D3CEE"/>
    <w:rsid w:val="003D49FB"/>
    <w:rsid w:val="003E2810"/>
    <w:rsid w:val="003E2A8A"/>
    <w:rsid w:val="003E3D81"/>
    <w:rsid w:val="003E4118"/>
    <w:rsid w:val="003E5187"/>
    <w:rsid w:val="003E5DB0"/>
    <w:rsid w:val="003F07FC"/>
    <w:rsid w:val="003F2E5B"/>
    <w:rsid w:val="003F3057"/>
    <w:rsid w:val="003F48F0"/>
    <w:rsid w:val="003F7A38"/>
    <w:rsid w:val="00402637"/>
    <w:rsid w:val="0040497C"/>
    <w:rsid w:val="004059DF"/>
    <w:rsid w:val="0040745C"/>
    <w:rsid w:val="00410508"/>
    <w:rsid w:val="00414C54"/>
    <w:rsid w:val="00416C85"/>
    <w:rsid w:val="00416D25"/>
    <w:rsid w:val="0042123F"/>
    <w:rsid w:val="004223CD"/>
    <w:rsid w:val="00422F07"/>
    <w:rsid w:val="0042439C"/>
    <w:rsid w:val="004254DA"/>
    <w:rsid w:val="0042781F"/>
    <w:rsid w:val="00433877"/>
    <w:rsid w:val="00435070"/>
    <w:rsid w:val="00435E0B"/>
    <w:rsid w:val="00437AED"/>
    <w:rsid w:val="0044033C"/>
    <w:rsid w:val="00440CD2"/>
    <w:rsid w:val="0044187D"/>
    <w:rsid w:val="00443B27"/>
    <w:rsid w:val="00445166"/>
    <w:rsid w:val="00450496"/>
    <w:rsid w:val="00451C49"/>
    <w:rsid w:val="00453753"/>
    <w:rsid w:val="00454165"/>
    <w:rsid w:val="004542EC"/>
    <w:rsid w:val="00454890"/>
    <w:rsid w:val="00455447"/>
    <w:rsid w:val="00456052"/>
    <w:rsid w:val="004577D5"/>
    <w:rsid w:val="004601CD"/>
    <w:rsid w:val="00464657"/>
    <w:rsid w:val="00464B08"/>
    <w:rsid w:val="00465EB2"/>
    <w:rsid w:val="0046672A"/>
    <w:rsid w:val="00467D5A"/>
    <w:rsid w:val="00471665"/>
    <w:rsid w:val="00474248"/>
    <w:rsid w:val="004749CB"/>
    <w:rsid w:val="00476DAF"/>
    <w:rsid w:val="0047759A"/>
    <w:rsid w:val="00480C1B"/>
    <w:rsid w:val="004825CA"/>
    <w:rsid w:val="004830F7"/>
    <w:rsid w:val="004841D1"/>
    <w:rsid w:val="004846FD"/>
    <w:rsid w:val="00486507"/>
    <w:rsid w:val="00487666"/>
    <w:rsid w:val="00487840"/>
    <w:rsid w:val="004920C7"/>
    <w:rsid w:val="00494DF3"/>
    <w:rsid w:val="00496A3C"/>
    <w:rsid w:val="004A30D4"/>
    <w:rsid w:val="004A328D"/>
    <w:rsid w:val="004A7335"/>
    <w:rsid w:val="004A7351"/>
    <w:rsid w:val="004B072F"/>
    <w:rsid w:val="004B0E3A"/>
    <w:rsid w:val="004C0AB0"/>
    <w:rsid w:val="004C26D0"/>
    <w:rsid w:val="004C5A89"/>
    <w:rsid w:val="004D3597"/>
    <w:rsid w:val="004D4A71"/>
    <w:rsid w:val="004D533D"/>
    <w:rsid w:val="004D6079"/>
    <w:rsid w:val="004D62A7"/>
    <w:rsid w:val="004D75B7"/>
    <w:rsid w:val="004D7E57"/>
    <w:rsid w:val="004D7FDD"/>
    <w:rsid w:val="004E420C"/>
    <w:rsid w:val="004E4B8A"/>
    <w:rsid w:val="004E63BB"/>
    <w:rsid w:val="004E64FD"/>
    <w:rsid w:val="004F127F"/>
    <w:rsid w:val="004F47FC"/>
    <w:rsid w:val="004F7DD5"/>
    <w:rsid w:val="00500EA0"/>
    <w:rsid w:val="00502A4A"/>
    <w:rsid w:val="005034F5"/>
    <w:rsid w:val="0050648F"/>
    <w:rsid w:val="005121E1"/>
    <w:rsid w:val="00513960"/>
    <w:rsid w:val="00520570"/>
    <w:rsid w:val="00522AB6"/>
    <w:rsid w:val="005235BB"/>
    <w:rsid w:val="00524232"/>
    <w:rsid w:val="00524867"/>
    <w:rsid w:val="00530285"/>
    <w:rsid w:val="0053109C"/>
    <w:rsid w:val="00531604"/>
    <w:rsid w:val="0053423F"/>
    <w:rsid w:val="00536C28"/>
    <w:rsid w:val="005376EC"/>
    <w:rsid w:val="00547A7F"/>
    <w:rsid w:val="00553A9E"/>
    <w:rsid w:val="00556952"/>
    <w:rsid w:val="0056439E"/>
    <w:rsid w:val="0056664B"/>
    <w:rsid w:val="00572C20"/>
    <w:rsid w:val="005737B5"/>
    <w:rsid w:val="005758FB"/>
    <w:rsid w:val="00576144"/>
    <w:rsid w:val="005802AB"/>
    <w:rsid w:val="00580341"/>
    <w:rsid w:val="00580DCF"/>
    <w:rsid w:val="005810A3"/>
    <w:rsid w:val="00581389"/>
    <w:rsid w:val="0058147B"/>
    <w:rsid w:val="00583CFA"/>
    <w:rsid w:val="00583FBC"/>
    <w:rsid w:val="00584AFD"/>
    <w:rsid w:val="005867FF"/>
    <w:rsid w:val="00587247"/>
    <w:rsid w:val="00591518"/>
    <w:rsid w:val="00592158"/>
    <w:rsid w:val="00592581"/>
    <w:rsid w:val="0059694A"/>
    <w:rsid w:val="00596EF6"/>
    <w:rsid w:val="005A17C4"/>
    <w:rsid w:val="005A4FF0"/>
    <w:rsid w:val="005A50B8"/>
    <w:rsid w:val="005A5C89"/>
    <w:rsid w:val="005B0154"/>
    <w:rsid w:val="005B16A4"/>
    <w:rsid w:val="005B1AEA"/>
    <w:rsid w:val="005B2823"/>
    <w:rsid w:val="005B289E"/>
    <w:rsid w:val="005B28E1"/>
    <w:rsid w:val="005B4051"/>
    <w:rsid w:val="005B56B8"/>
    <w:rsid w:val="005B71DB"/>
    <w:rsid w:val="005C0071"/>
    <w:rsid w:val="005C18B2"/>
    <w:rsid w:val="005C2A28"/>
    <w:rsid w:val="005C5AA9"/>
    <w:rsid w:val="005D016E"/>
    <w:rsid w:val="005D1318"/>
    <w:rsid w:val="005D1F00"/>
    <w:rsid w:val="005D2D79"/>
    <w:rsid w:val="005D4C2E"/>
    <w:rsid w:val="005D508A"/>
    <w:rsid w:val="005E043E"/>
    <w:rsid w:val="005E0968"/>
    <w:rsid w:val="005E2705"/>
    <w:rsid w:val="005E2CA3"/>
    <w:rsid w:val="005E323D"/>
    <w:rsid w:val="005E3A2C"/>
    <w:rsid w:val="005F0988"/>
    <w:rsid w:val="005F31C6"/>
    <w:rsid w:val="00602416"/>
    <w:rsid w:val="0060474D"/>
    <w:rsid w:val="00604B65"/>
    <w:rsid w:val="0061028F"/>
    <w:rsid w:val="00612960"/>
    <w:rsid w:val="0061426F"/>
    <w:rsid w:val="00614764"/>
    <w:rsid w:val="00615488"/>
    <w:rsid w:val="00617B75"/>
    <w:rsid w:val="00620F47"/>
    <w:rsid w:val="0062242D"/>
    <w:rsid w:val="00624DE7"/>
    <w:rsid w:val="00625505"/>
    <w:rsid w:val="006259A8"/>
    <w:rsid w:val="0062689B"/>
    <w:rsid w:val="00626D2D"/>
    <w:rsid w:val="00627110"/>
    <w:rsid w:val="00630B86"/>
    <w:rsid w:val="0063273E"/>
    <w:rsid w:val="0063318D"/>
    <w:rsid w:val="00636321"/>
    <w:rsid w:val="00637FA0"/>
    <w:rsid w:val="00640502"/>
    <w:rsid w:val="00640A7F"/>
    <w:rsid w:val="00645EC4"/>
    <w:rsid w:val="00650044"/>
    <w:rsid w:val="00651AEE"/>
    <w:rsid w:val="00651BB0"/>
    <w:rsid w:val="0065292B"/>
    <w:rsid w:val="006565B1"/>
    <w:rsid w:val="00667A4A"/>
    <w:rsid w:val="006714E5"/>
    <w:rsid w:val="00680CE3"/>
    <w:rsid w:val="00684E11"/>
    <w:rsid w:val="00690FC6"/>
    <w:rsid w:val="00694661"/>
    <w:rsid w:val="00694FB2"/>
    <w:rsid w:val="00696278"/>
    <w:rsid w:val="006972F4"/>
    <w:rsid w:val="006978A1"/>
    <w:rsid w:val="006A2398"/>
    <w:rsid w:val="006A3FEF"/>
    <w:rsid w:val="006A43AD"/>
    <w:rsid w:val="006A4E49"/>
    <w:rsid w:val="006A7CC5"/>
    <w:rsid w:val="006B0735"/>
    <w:rsid w:val="006B59FB"/>
    <w:rsid w:val="006B7484"/>
    <w:rsid w:val="006C7E6F"/>
    <w:rsid w:val="006D0D6F"/>
    <w:rsid w:val="006D2D62"/>
    <w:rsid w:val="006D3E60"/>
    <w:rsid w:val="006D496D"/>
    <w:rsid w:val="006D563C"/>
    <w:rsid w:val="006D57DC"/>
    <w:rsid w:val="006E03A3"/>
    <w:rsid w:val="006E04BF"/>
    <w:rsid w:val="006E0EF1"/>
    <w:rsid w:val="006E2DEF"/>
    <w:rsid w:val="006E69B3"/>
    <w:rsid w:val="006F28B6"/>
    <w:rsid w:val="006F2DDD"/>
    <w:rsid w:val="006F388D"/>
    <w:rsid w:val="006F4C47"/>
    <w:rsid w:val="00700CDA"/>
    <w:rsid w:val="0070182C"/>
    <w:rsid w:val="00702005"/>
    <w:rsid w:val="007031FD"/>
    <w:rsid w:val="00703232"/>
    <w:rsid w:val="0070520E"/>
    <w:rsid w:val="00705C68"/>
    <w:rsid w:val="00705EFF"/>
    <w:rsid w:val="007065EA"/>
    <w:rsid w:val="00710E2A"/>
    <w:rsid w:val="00720947"/>
    <w:rsid w:val="00721CA6"/>
    <w:rsid w:val="00721F5F"/>
    <w:rsid w:val="007220AE"/>
    <w:rsid w:val="0072309F"/>
    <w:rsid w:val="00730DD7"/>
    <w:rsid w:val="00733198"/>
    <w:rsid w:val="007345C1"/>
    <w:rsid w:val="007357B1"/>
    <w:rsid w:val="00742C8D"/>
    <w:rsid w:val="0074554E"/>
    <w:rsid w:val="00751F08"/>
    <w:rsid w:val="00752D57"/>
    <w:rsid w:val="007545AB"/>
    <w:rsid w:val="00754A41"/>
    <w:rsid w:val="00754B46"/>
    <w:rsid w:val="00754CAC"/>
    <w:rsid w:val="00755B4A"/>
    <w:rsid w:val="00755F71"/>
    <w:rsid w:val="00761BE6"/>
    <w:rsid w:val="007633A3"/>
    <w:rsid w:val="00767ADC"/>
    <w:rsid w:val="00770D05"/>
    <w:rsid w:val="00770ED4"/>
    <w:rsid w:val="007715EC"/>
    <w:rsid w:val="00775797"/>
    <w:rsid w:val="007809E6"/>
    <w:rsid w:val="00782662"/>
    <w:rsid w:val="00782992"/>
    <w:rsid w:val="00784310"/>
    <w:rsid w:val="00785524"/>
    <w:rsid w:val="00786516"/>
    <w:rsid w:val="007877BD"/>
    <w:rsid w:val="0079236C"/>
    <w:rsid w:val="007944D0"/>
    <w:rsid w:val="00794DAE"/>
    <w:rsid w:val="007A2730"/>
    <w:rsid w:val="007A2F55"/>
    <w:rsid w:val="007A3FB9"/>
    <w:rsid w:val="007A415E"/>
    <w:rsid w:val="007A45A1"/>
    <w:rsid w:val="007A6EF0"/>
    <w:rsid w:val="007A79F2"/>
    <w:rsid w:val="007B1FFC"/>
    <w:rsid w:val="007B2C2C"/>
    <w:rsid w:val="007B2EE2"/>
    <w:rsid w:val="007B4F7B"/>
    <w:rsid w:val="007C78EF"/>
    <w:rsid w:val="007C7C6E"/>
    <w:rsid w:val="007D037E"/>
    <w:rsid w:val="007D17BA"/>
    <w:rsid w:val="007D580C"/>
    <w:rsid w:val="007D59A2"/>
    <w:rsid w:val="007D670F"/>
    <w:rsid w:val="007D6976"/>
    <w:rsid w:val="007D7781"/>
    <w:rsid w:val="007E1ECF"/>
    <w:rsid w:val="007E5609"/>
    <w:rsid w:val="007E6837"/>
    <w:rsid w:val="007E7909"/>
    <w:rsid w:val="007F1A38"/>
    <w:rsid w:val="007F4047"/>
    <w:rsid w:val="007F5A2B"/>
    <w:rsid w:val="007F5C5D"/>
    <w:rsid w:val="0080208F"/>
    <w:rsid w:val="00803487"/>
    <w:rsid w:val="00804E04"/>
    <w:rsid w:val="00805059"/>
    <w:rsid w:val="00806282"/>
    <w:rsid w:val="00806A4A"/>
    <w:rsid w:val="00811C97"/>
    <w:rsid w:val="00812092"/>
    <w:rsid w:val="0081217F"/>
    <w:rsid w:val="0081467C"/>
    <w:rsid w:val="00823137"/>
    <w:rsid w:val="008234F2"/>
    <w:rsid w:val="00831075"/>
    <w:rsid w:val="008312F1"/>
    <w:rsid w:val="008316F1"/>
    <w:rsid w:val="0083254C"/>
    <w:rsid w:val="00834264"/>
    <w:rsid w:val="00836A66"/>
    <w:rsid w:val="00844BD0"/>
    <w:rsid w:val="0084536F"/>
    <w:rsid w:val="0084666F"/>
    <w:rsid w:val="00850810"/>
    <w:rsid w:val="00851D08"/>
    <w:rsid w:val="00854566"/>
    <w:rsid w:val="00854853"/>
    <w:rsid w:val="008549AF"/>
    <w:rsid w:val="00856AE6"/>
    <w:rsid w:val="0086258D"/>
    <w:rsid w:val="008636B0"/>
    <w:rsid w:val="00863901"/>
    <w:rsid w:val="0086423E"/>
    <w:rsid w:val="00865167"/>
    <w:rsid w:val="00867E63"/>
    <w:rsid w:val="008704D2"/>
    <w:rsid w:val="00871258"/>
    <w:rsid w:val="00873ED6"/>
    <w:rsid w:val="00875228"/>
    <w:rsid w:val="008844FF"/>
    <w:rsid w:val="00887E39"/>
    <w:rsid w:val="00890434"/>
    <w:rsid w:val="00892815"/>
    <w:rsid w:val="00896769"/>
    <w:rsid w:val="008A004F"/>
    <w:rsid w:val="008A3165"/>
    <w:rsid w:val="008A4593"/>
    <w:rsid w:val="008A617C"/>
    <w:rsid w:val="008A726F"/>
    <w:rsid w:val="008B16A1"/>
    <w:rsid w:val="008B192F"/>
    <w:rsid w:val="008B2C5E"/>
    <w:rsid w:val="008B4E50"/>
    <w:rsid w:val="008B5D6B"/>
    <w:rsid w:val="008C2ECF"/>
    <w:rsid w:val="008C32BE"/>
    <w:rsid w:val="008C33E7"/>
    <w:rsid w:val="008C4533"/>
    <w:rsid w:val="008C6556"/>
    <w:rsid w:val="008D181B"/>
    <w:rsid w:val="008D1BD8"/>
    <w:rsid w:val="008D1DD5"/>
    <w:rsid w:val="008D34F6"/>
    <w:rsid w:val="008D3B7E"/>
    <w:rsid w:val="008D3CC5"/>
    <w:rsid w:val="008D49FD"/>
    <w:rsid w:val="008D6425"/>
    <w:rsid w:val="008D7434"/>
    <w:rsid w:val="008E1210"/>
    <w:rsid w:val="008E3D0C"/>
    <w:rsid w:val="008E5A57"/>
    <w:rsid w:val="008E620E"/>
    <w:rsid w:val="008E7077"/>
    <w:rsid w:val="008F03D9"/>
    <w:rsid w:val="008F4F29"/>
    <w:rsid w:val="008F5F43"/>
    <w:rsid w:val="009000AB"/>
    <w:rsid w:val="009039F1"/>
    <w:rsid w:val="00903F95"/>
    <w:rsid w:val="009050D4"/>
    <w:rsid w:val="0090602E"/>
    <w:rsid w:val="00910B3F"/>
    <w:rsid w:val="00916574"/>
    <w:rsid w:val="00920985"/>
    <w:rsid w:val="00922417"/>
    <w:rsid w:val="00922B17"/>
    <w:rsid w:val="009309B9"/>
    <w:rsid w:val="00930E3D"/>
    <w:rsid w:val="00931B6D"/>
    <w:rsid w:val="00931FD3"/>
    <w:rsid w:val="00932E80"/>
    <w:rsid w:val="00935A66"/>
    <w:rsid w:val="00935CCC"/>
    <w:rsid w:val="00941DF5"/>
    <w:rsid w:val="0094457F"/>
    <w:rsid w:val="00945573"/>
    <w:rsid w:val="00945BAE"/>
    <w:rsid w:val="00947CC6"/>
    <w:rsid w:val="00951AAC"/>
    <w:rsid w:val="00951BDA"/>
    <w:rsid w:val="009521DF"/>
    <w:rsid w:val="009533F3"/>
    <w:rsid w:val="0095394B"/>
    <w:rsid w:val="00955491"/>
    <w:rsid w:val="00955E41"/>
    <w:rsid w:val="00956DBD"/>
    <w:rsid w:val="009574EE"/>
    <w:rsid w:val="009615E2"/>
    <w:rsid w:val="009618A9"/>
    <w:rsid w:val="009656B7"/>
    <w:rsid w:val="00970B8C"/>
    <w:rsid w:val="00971549"/>
    <w:rsid w:val="009737AB"/>
    <w:rsid w:val="0097441C"/>
    <w:rsid w:val="0097627D"/>
    <w:rsid w:val="00981666"/>
    <w:rsid w:val="0098295A"/>
    <w:rsid w:val="00983E63"/>
    <w:rsid w:val="009903B4"/>
    <w:rsid w:val="00991A2E"/>
    <w:rsid w:val="00996265"/>
    <w:rsid w:val="00997F4F"/>
    <w:rsid w:val="009A0B73"/>
    <w:rsid w:val="009A1366"/>
    <w:rsid w:val="009A19C1"/>
    <w:rsid w:val="009A2581"/>
    <w:rsid w:val="009A2E9F"/>
    <w:rsid w:val="009A47B7"/>
    <w:rsid w:val="009A48E5"/>
    <w:rsid w:val="009A6381"/>
    <w:rsid w:val="009A6E4A"/>
    <w:rsid w:val="009B1041"/>
    <w:rsid w:val="009B79F4"/>
    <w:rsid w:val="009D13C0"/>
    <w:rsid w:val="009D1FB5"/>
    <w:rsid w:val="009D3CB9"/>
    <w:rsid w:val="009D4B94"/>
    <w:rsid w:val="009D63FB"/>
    <w:rsid w:val="009E1CF0"/>
    <w:rsid w:val="009E4130"/>
    <w:rsid w:val="009E454D"/>
    <w:rsid w:val="009E4709"/>
    <w:rsid w:val="009E7F5C"/>
    <w:rsid w:val="009F09EF"/>
    <w:rsid w:val="009F11B5"/>
    <w:rsid w:val="009F40EB"/>
    <w:rsid w:val="00A00B1E"/>
    <w:rsid w:val="00A00C59"/>
    <w:rsid w:val="00A01A8E"/>
    <w:rsid w:val="00A024CA"/>
    <w:rsid w:val="00A03593"/>
    <w:rsid w:val="00A0531C"/>
    <w:rsid w:val="00A10052"/>
    <w:rsid w:val="00A10299"/>
    <w:rsid w:val="00A112FB"/>
    <w:rsid w:val="00A12761"/>
    <w:rsid w:val="00A143D7"/>
    <w:rsid w:val="00A1710E"/>
    <w:rsid w:val="00A2104C"/>
    <w:rsid w:val="00A228DC"/>
    <w:rsid w:val="00A238DB"/>
    <w:rsid w:val="00A24EF0"/>
    <w:rsid w:val="00A25E79"/>
    <w:rsid w:val="00A27730"/>
    <w:rsid w:val="00A33E47"/>
    <w:rsid w:val="00A348F8"/>
    <w:rsid w:val="00A3572F"/>
    <w:rsid w:val="00A375EB"/>
    <w:rsid w:val="00A415EF"/>
    <w:rsid w:val="00A43B70"/>
    <w:rsid w:val="00A43FED"/>
    <w:rsid w:val="00A44EFD"/>
    <w:rsid w:val="00A4572E"/>
    <w:rsid w:val="00A45810"/>
    <w:rsid w:val="00A45B00"/>
    <w:rsid w:val="00A47700"/>
    <w:rsid w:val="00A50B4A"/>
    <w:rsid w:val="00A50E0E"/>
    <w:rsid w:val="00A520D1"/>
    <w:rsid w:val="00A55318"/>
    <w:rsid w:val="00A558FF"/>
    <w:rsid w:val="00A55F2B"/>
    <w:rsid w:val="00A57D52"/>
    <w:rsid w:val="00A618CB"/>
    <w:rsid w:val="00A61902"/>
    <w:rsid w:val="00A61B90"/>
    <w:rsid w:val="00A63E62"/>
    <w:rsid w:val="00A65022"/>
    <w:rsid w:val="00A664A8"/>
    <w:rsid w:val="00A702C0"/>
    <w:rsid w:val="00A707E8"/>
    <w:rsid w:val="00A73086"/>
    <w:rsid w:val="00A74715"/>
    <w:rsid w:val="00A77AC7"/>
    <w:rsid w:val="00A86877"/>
    <w:rsid w:val="00A9235B"/>
    <w:rsid w:val="00A93634"/>
    <w:rsid w:val="00A94AC6"/>
    <w:rsid w:val="00A953D0"/>
    <w:rsid w:val="00A969E9"/>
    <w:rsid w:val="00A96BB7"/>
    <w:rsid w:val="00AA0CCE"/>
    <w:rsid w:val="00AA0EFA"/>
    <w:rsid w:val="00AC011D"/>
    <w:rsid w:val="00AC1745"/>
    <w:rsid w:val="00AC575B"/>
    <w:rsid w:val="00AD0E64"/>
    <w:rsid w:val="00AD7646"/>
    <w:rsid w:val="00AE1336"/>
    <w:rsid w:val="00AE2A11"/>
    <w:rsid w:val="00AF0D25"/>
    <w:rsid w:val="00AF35CD"/>
    <w:rsid w:val="00B00AB2"/>
    <w:rsid w:val="00B0115D"/>
    <w:rsid w:val="00B02E78"/>
    <w:rsid w:val="00B039BE"/>
    <w:rsid w:val="00B139FD"/>
    <w:rsid w:val="00B1429E"/>
    <w:rsid w:val="00B16003"/>
    <w:rsid w:val="00B164D2"/>
    <w:rsid w:val="00B1704B"/>
    <w:rsid w:val="00B20B3B"/>
    <w:rsid w:val="00B23916"/>
    <w:rsid w:val="00B26444"/>
    <w:rsid w:val="00B26D4B"/>
    <w:rsid w:val="00B26E14"/>
    <w:rsid w:val="00B30D1B"/>
    <w:rsid w:val="00B3207E"/>
    <w:rsid w:val="00B338FD"/>
    <w:rsid w:val="00B37D66"/>
    <w:rsid w:val="00B41C78"/>
    <w:rsid w:val="00B45560"/>
    <w:rsid w:val="00B457E1"/>
    <w:rsid w:val="00B538F7"/>
    <w:rsid w:val="00B54150"/>
    <w:rsid w:val="00B54C88"/>
    <w:rsid w:val="00B57B13"/>
    <w:rsid w:val="00B60197"/>
    <w:rsid w:val="00B60BEE"/>
    <w:rsid w:val="00B64F90"/>
    <w:rsid w:val="00B70D90"/>
    <w:rsid w:val="00B727DA"/>
    <w:rsid w:val="00B8100B"/>
    <w:rsid w:val="00B8553D"/>
    <w:rsid w:val="00B86A71"/>
    <w:rsid w:val="00B932C1"/>
    <w:rsid w:val="00B93C33"/>
    <w:rsid w:val="00B962B0"/>
    <w:rsid w:val="00B964AD"/>
    <w:rsid w:val="00BA0195"/>
    <w:rsid w:val="00BA2778"/>
    <w:rsid w:val="00BA3597"/>
    <w:rsid w:val="00BA6630"/>
    <w:rsid w:val="00BB0051"/>
    <w:rsid w:val="00BB1505"/>
    <w:rsid w:val="00BB2AA6"/>
    <w:rsid w:val="00BB4B64"/>
    <w:rsid w:val="00BB5036"/>
    <w:rsid w:val="00BB66B7"/>
    <w:rsid w:val="00BC270D"/>
    <w:rsid w:val="00BC4511"/>
    <w:rsid w:val="00BC6A63"/>
    <w:rsid w:val="00BD11EB"/>
    <w:rsid w:val="00BD3105"/>
    <w:rsid w:val="00BD384C"/>
    <w:rsid w:val="00BD59F7"/>
    <w:rsid w:val="00BD6361"/>
    <w:rsid w:val="00BD648A"/>
    <w:rsid w:val="00BE04A2"/>
    <w:rsid w:val="00BE28ED"/>
    <w:rsid w:val="00BE5BAA"/>
    <w:rsid w:val="00BE5E3C"/>
    <w:rsid w:val="00BE66FA"/>
    <w:rsid w:val="00BE7D9F"/>
    <w:rsid w:val="00BF01EA"/>
    <w:rsid w:val="00BF0F6B"/>
    <w:rsid w:val="00BF2A83"/>
    <w:rsid w:val="00BF3331"/>
    <w:rsid w:val="00BF3A1A"/>
    <w:rsid w:val="00BF596E"/>
    <w:rsid w:val="00BF7584"/>
    <w:rsid w:val="00C00D0F"/>
    <w:rsid w:val="00C027A4"/>
    <w:rsid w:val="00C03005"/>
    <w:rsid w:val="00C0481C"/>
    <w:rsid w:val="00C04A77"/>
    <w:rsid w:val="00C0531E"/>
    <w:rsid w:val="00C11150"/>
    <w:rsid w:val="00C1391A"/>
    <w:rsid w:val="00C13A96"/>
    <w:rsid w:val="00C14621"/>
    <w:rsid w:val="00C15A3B"/>
    <w:rsid w:val="00C15E77"/>
    <w:rsid w:val="00C17C17"/>
    <w:rsid w:val="00C21424"/>
    <w:rsid w:val="00C2412B"/>
    <w:rsid w:val="00C24730"/>
    <w:rsid w:val="00C24CB3"/>
    <w:rsid w:val="00C26A1D"/>
    <w:rsid w:val="00C2717D"/>
    <w:rsid w:val="00C33775"/>
    <w:rsid w:val="00C41D2B"/>
    <w:rsid w:val="00C44A29"/>
    <w:rsid w:val="00C44AD1"/>
    <w:rsid w:val="00C46238"/>
    <w:rsid w:val="00C51117"/>
    <w:rsid w:val="00C534F3"/>
    <w:rsid w:val="00C54B7D"/>
    <w:rsid w:val="00C562CF"/>
    <w:rsid w:val="00C60C2C"/>
    <w:rsid w:val="00C70350"/>
    <w:rsid w:val="00C7318A"/>
    <w:rsid w:val="00C74503"/>
    <w:rsid w:val="00C75105"/>
    <w:rsid w:val="00C75B0A"/>
    <w:rsid w:val="00C76626"/>
    <w:rsid w:val="00C77953"/>
    <w:rsid w:val="00C80053"/>
    <w:rsid w:val="00C80059"/>
    <w:rsid w:val="00C80FD5"/>
    <w:rsid w:val="00C81F4F"/>
    <w:rsid w:val="00C83421"/>
    <w:rsid w:val="00C83454"/>
    <w:rsid w:val="00C84245"/>
    <w:rsid w:val="00C843F9"/>
    <w:rsid w:val="00C8465C"/>
    <w:rsid w:val="00C8609B"/>
    <w:rsid w:val="00C8740A"/>
    <w:rsid w:val="00C90823"/>
    <w:rsid w:val="00C93CC0"/>
    <w:rsid w:val="00C963FD"/>
    <w:rsid w:val="00C9686E"/>
    <w:rsid w:val="00CA2E9B"/>
    <w:rsid w:val="00CA6611"/>
    <w:rsid w:val="00CA6819"/>
    <w:rsid w:val="00CA6AD5"/>
    <w:rsid w:val="00CB09E8"/>
    <w:rsid w:val="00CB0B44"/>
    <w:rsid w:val="00CB2F0A"/>
    <w:rsid w:val="00CB7077"/>
    <w:rsid w:val="00CC17B6"/>
    <w:rsid w:val="00CC216E"/>
    <w:rsid w:val="00CC4D3F"/>
    <w:rsid w:val="00CC6C64"/>
    <w:rsid w:val="00CC763B"/>
    <w:rsid w:val="00CD1088"/>
    <w:rsid w:val="00CD6A28"/>
    <w:rsid w:val="00CE2168"/>
    <w:rsid w:val="00CE492B"/>
    <w:rsid w:val="00CE5777"/>
    <w:rsid w:val="00CE598C"/>
    <w:rsid w:val="00CE5F91"/>
    <w:rsid w:val="00CF24AB"/>
    <w:rsid w:val="00CF4A89"/>
    <w:rsid w:val="00CF51A7"/>
    <w:rsid w:val="00CF64A0"/>
    <w:rsid w:val="00CF703B"/>
    <w:rsid w:val="00D0048E"/>
    <w:rsid w:val="00D0573E"/>
    <w:rsid w:val="00D05D1C"/>
    <w:rsid w:val="00D06349"/>
    <w:rsid w:val="00D0666D"/>
    <w:rsid w:val="00D10241"/>
    <w:rsid w:val="00D10807"/>
    <w:rsid w:val="00D13313"/>
    <w:rsid w:val="00D1493D"/>
    <w:rsid w:val="00D14FD0"/>
    <w:rsid w:val="00D164D5"/>
    <w:rsid w:val="00D206B7"/>
    <w:rsid w:val="00D20BC4"/>
    <w:rsid w:val="00D217B1"/>
    <w:rsid w:val="00D21A64"/>
    <w:rsid w:val="00D23B09"/>
    <w:rsid w:val="00D2566D"/>
    <w:rsid w:val="00D25BBF"/>
    <w:rsid w:val="00D267BE"/>
    <w:rsid w:val="00D30AFA"/>
    <w:rsid w:val="00D3285D"/>
    <w:rsid w:val="00D33CD9"/>
    <w:rsid w:val="00D34197"/>
    <w:rsid w:val="00D341A6"/>
    <w:rsid w:val="00D3649F"/>
    <w:rsid w:val="00D41C5D"/>
    <w:rsid w:val="00D46434"/>
    <w:rsid w:val="00D47B29"/>
    <w:rsid w:val="00D531EE"/>
    <w:rsid w:val="00D532FE"/>
    <w:rsid w:val="00D579F3"/>
    <w:rsid w:val="00D63CFF"/>
    <w:rsid w:val="00D65338"/>
    <w:rsid w:val="00D6631A"/>
    <w:rsid w:val="00D66A54"/>
    <w:rsid w:val="00D670C6"/>
    <w:rsid w:val="00D7059F"/>
    <w:rsid w:val="00D72A28"/>
    <w:rsid w:val="00D731A1"/>
    <w:rsid w:val="00D80FC0"/>
    <w:rsid w:val="00D90815"/>
    <w:rsid w:val="00D91FDB"/>
    <w:rsid w:val="00D95738"/>
    <w:rsid w:val="00D95CCD"/>
    <w:rsid w:val="00D96187"/>
    <w:rsid w:val="00D964C7"/>
    <w:rsid w:val="00D97B73"/>
    <w:rsid w:val="00D97D76"/>
    <w:rsid w:val="00DA066E"/>
    <w:rsid w:val="00DA1CA4"/>
    <w:rsid w:val="00DA200A"/>
    <w:rsid w:val="00DA659C"/>
    <w:rsid w:val="00DB05A6"/>
    <w:rsid w:val="00DB118D"/>
    <w:rsid w:val="00DB6180"/>
    <w:rsid w:val="00DC3EB4"/>
    <w:rsid w:val="00DC45BA"/>
    <w:rsid w:val="00DC529A"/>
    <w:rsid w:val="00DC6202"/>
    <w:rsid w:val="00DD2EB2"/>
    <w:rsid w:val="00DE174A"/>
    <w:rsid w:val="00DE21DF"/>
    <w:rsid w:val="00DE3D28"/>
    <w:rsid w:val="00DE4F00"/>
    <w:rsid w:val="00DF2CA9"/>
    <w:rsid w:val="00DF31B8"/>
    <w:rsid w:val="00DF5FB0"/>
    <w:rsid w:val="00DF6038"/>
    <w:rsid w:val="00DF70A0"/>
    <w:rsid w:val="00E0155A"/>
    <w:rsid w:val="00E149EF"/>
    <w:rsid w:val="00E166E6"/>
    <w:rsid w:val="00E200D5"/>
    <w:rsid w:val="00E22F16"/>
    <w:rsid w:val="00E25693"/>
    <w:rsid w:val="00E270CC"/>
    <w:rsid w:val="00E30742"/>
    <w:rsid w:val="00E30F76"/>
    <w:rsid w:val="00E3487C"/>
    <w:rsid w:val="00E36504"/>
    <w:rsid w:val="00E36D16"/>
    <w:rsid w:val="00E412FE"/>
    <w:rsid w:val="00E42B34"/>
    <w:rsid w:val="00E44FB0"/>
    <w:rsid w:val="00E467F2"/>
    <w:rsid w:val="00E55C11"/>
    <w:rsid w:val="00E60C99"/>
    <w:rsid w:val="00E60E7F"/>
    <w:rsid w:val="00E61568"/>
    <w:rsid w:val="00E61B69"/>
    <w:rsid w:val="00E63BE0"/>
    <w:rsid w:val="00E653C4"/>
    <w:rsid w:val="00E65DE1"/>
    <w:rsid w:val="00E6656D"/>
    <w:rsid w:val="00E678ED"/>
    <w:rsid w:val="00E708FA"/>
    <w:rsid w:val="00E72A3E"/>
    <w:rsid w:val="00E731F6"/>
    <w:rsid w:val="00E73406"/>
    <w:rsid w:val="00E757A2"/>
    <w:rsid w:val="00E76A43"/>
    <w:rsid w:val="00E808C6"/>
    <w:rsid w:val="00E84322"/>
    <w:rsid w:val="00E846E6"/>
    <w:rsid w:val="00E86A2E"/>
    <w:rsid w:val="00E878E8"/>
    <w:rsid w:val="00E939E4"/>
    <w:rsid w:val="00E9486A"/>
    <w:rsid w:val="00E96BA2"/>
    <w:rsid w:val="00EA37C7"/>
    <w:rsid w:val="00EA499C"/>
    <w:rsid w:val="00EB071D"/>
    <w:rsid w:val="00EB07A7"/>
    <w:rsid w:val="00EB1632"/>
    <w:rsid w:val="00EB3E47"/>
    <w:rsid w:val="00EB46DA"/>
    <w:rsid w:val="00EB56F2"/>
    <w:rsid w:val="00EC4A21"/>
    <w:rsid w:val="00EC54B5"/>
    <w:rsid w:val="00EC5C81"/>
    <w:rsid w:val="00EC5D3D"/>
    <w:rsid w:val="00EC68A7"/>
    <w:rsid w:val="00ED1B48"/>
    <w:rsid w:val="00ED1B69"/>
    <w:rsid w:val="00EE0619"/>
    <w:rsid w:val="00EE1824"/>
    <w:rsid w:val="00EE1A2F"/>
    <w:rsid w:val="00EE2342"/>
    <w:rsid w:val="00EE3FBB"/>
    <w:rsid w:val="00EE5E37"/>
    <w:rsid w:val="00EF0798"/>
    <w:rsid w:val="00EF12EE"/>
    <w:rsid w:val="00EF2A35"/>
    <w:rsid w:val="00EF468E"/>
    <w:rsid w:val="00EF4C95"/>
    <w:rsid w:val="00EF4E7A"/>
    <w:rsid w:val="00EF59A9"/>
    <w:rsid w:val="00EF65B5"/>
    <w:rsid w:val="00EF7E1C"/>
    <w:rsid w:val="00F01E3C"/>
    <w:rsid w:val="00F02A94"/>
    <w:rsid w:val="00F069C9"/>
    <w:rsid w:val="00F15652"/>
    <w:rsid w:val="00F16B20"/>
    <w:rsid w:val="00F22D57"/>
    <w:rsid w:val="00F22DE3"/>
    <w:rsid w:val="00F23F31"/>
    <w:rsid w:val="00F24077"/>
    <w:rsid w:val="00F245EC"/>
    <w:rsid w:val="00F247ED"/>
    <w:rsid w:val="00F27562"/>
    <w:rsid w:val="00F27898"/>
    <w:rsid w:val="00F30DB9"/>
    <w:rsid w:val="00F35A3C"/>
    <w:rsid w:val="00F42ABB"/>
    <w:rsid w:val="00F44DAD"/>
    <w:rsid w:val="00F45B28"/>
    <w:rsid w:val="00F4774D"/>
    <w:rsid w:val="00F50C64"/>
    <w:rsid w:val="00F53359"/>
    <w:rsid w:val="00F54F0A"/>
    <w:rsid w:val="00F54F23"/>
    <w:rsid w:val="00F551CD"/>
    <w:rsid w:val="00F60549"/>
    <w:rsid w:val="00F6058D"/>
    <w:rsid w:val="00F63F1D"/>
    <w:rsid w:val="00F64255"/>
    <w:rsid w:val="00F65B8E"/>
    <w:rsid w:val="00F666D9"/>
    <w:rsid w:val="00F74D76"/>
    <w:rsid w:val="00F81425"/>
    <w:rsid w:val="00F81B37"/>
    <w:rsid w:val="00F83085"/>
    <w:rsid w:val="00F840E9"/>
    <w:rsid w:val="00F86752"/>
    <w:rsid w:val="00F86E28"/>
    <w:rsid w:val="00F87757"/>
    <w:rsid w:val="00F90898"/>
    <w:rsid w:val="00F94DCD"/>
    <w:rsid w:val="00F95652"/>
    <w:rsid w:val="00FA4C28"/>
    <w:rsid w:val="00FA5605"/>
    <w:rsid w:val="00FA6EAE"/>
    <w:rsid w:val="00FB044E"/>
    <w:rsid w:val="00FB516B"/>
    <w:rsid w:val="00FB5C33"/>
    <w:rsid w:val="00FC09F8"/>
    <w:rsid w:val="00FC1671"/>
    <w:rsid w:val="00FC1E1F"/>
    <w:rsid w:val="00FC3DC3"/>
    <w:rsid w:val="00FC5114"/>
    <w:rsid w:val="00FC5523"/>
    <w:rsid w:val="00FD2F80"/>
    <w:rsid w:val="00FD3299"/>
    <w:rsid w:val="00FD388C"/>
    <w:rsid w:val="00FD483C"/>
    <w:rsid w:val="00FD7ABF"/>
    <w:rsid w:val="00FE0938"/>
    <w:rsid w:val="00FE1078"/>
    <w:rsid w:val="00FE17DC"/>
    <w:rsid w:val="00FE1FB6"/>
    <w:rsid w:val="00FE4534"/>
    <w:rsid w:val="00FF1A87"/>
    <w:rsid w:val="00FF3F22"/>
    <w:rsid w:val="00FF529B"/>
    <w:rsid w:val="00FF552F"/>
    <w:rsid w:val="00FF5E2D"/>
    <w:rsid w:val="00FF5EEB"/>
    <w:rsid w:val="00FF7046"/>
    <w:rsid w:val="00FF74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2D65DE6"/>
  <w15:docId w15:val="{B2955C13-A8BD-4EC3-924F-DEE44E62D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4437"/>
    <w:pPr>
      <w:spacing w:after="0" w:line="240" w:lineRule="auto"/>
    </w:pPr>
    <w:rPr>
      <w:rFonts w:ascii="Calibri" w:eastAsia="Times New Roman" w:hAnsi="Calibri" w:cs="Calibri"/>
    </w:rPr>
  </w:style>
  <w:style w:type="paragraph" w:styleId="Titre1">
    <w:name w:val="heading 1"/>
    <w:basedOn w:val="Normal"/>
    <w:next w:val="Normal"/>
    <w:link w:val="Titre1Car"/>
    <w:uiPriority w:val="9"/>
    <w:qFormat/>
    <w:rsid w:val="003671B8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val="fr-BE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671B8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fr-BE"/>
    </w:rPr>
  </w:style>
  <w:style w:type="paragraph" w:styleId="Titre3">
    <w:name w:val="heading 3"/>
    <w:basedOn w:val="Normal"/>
    <w:link w:val="Titre3Car"/>
    <w:uiPriority w:val="9"/>
    <w:qFormat/>
    <w:rsid w:val="00364437"/>
    <w:pPr>
      <w:spacing w:before="100" w:beforeAutospacing="1" w:after="100" w:afterAutospacing="1"/>
      <w:outlineLvl w:val="2"/>
    </w:pPr>
    <w:rPr>
      <w:rFonts w:ascii="Times New Roman" w:hAnsi="Times New Roman" w:cs="Times New Roman"/>
      <w:b/>
      <w:bCs/>
      <w:sz w:val="27"/>
      <w:szCs w:val="27"/>
      <w:lang w:eastAsia="fr-FR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3671B8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3671B8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7F5C5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671B8"/>
    <w:rPr>
      <w:rFonts w:ascii="Cambria" w:eastAsia="Times New Roman" w:hAnsi="Cambria" w:cs="Times New Roman"/>
      <w:b/>
      <w:bCs/>
      <w:kern w:val="32"/>
      <w:sz w:val="32"/>
      <w:szCs w:val="32"/>
      <w:lang w:val="fr-BE"/>
    </w:rPr>
  </w:style>
  <w:style w:type="character" w:customStyle="1" w:styleId="Titre2Car">
    <w:name w:val="Titre 2 Car"/>
    <w:basedOn w:val="Policepardfaut"/>
    <w:link w:val="Titre2"/>
    <w:uiPriority w:val="9"/>
    <w:rsid w:val="003671B8"/>
    <w:rPr>
      <w:rFonts w:ascii="Cambria" w:eastAsia="Times New Roman" w:hAnsi="Cambria" w:cs="Times New Roman"/>
      <w:b/>
      <w:bCs/>
      <w:i/>
      <w:iCs/>
      <w:sz w:val="28"/>
      <w:szCs w:val="28"/>
      <w:lang w:val="fr-BE"/>
    </w:rPr>
  </w:style>
  <w:style w:type="character" w:customStyle="1" w:styleId="Titre3Car">
    <w:name w:val="Titre 3 Car"/>
    <w:basedOn w:val="Policepardfaut"/>
    <w:link w:val="Titre3"/>
    <w:uiPriority w:val="9"/>
    <w:rsid w:val="00364437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customStyle="1" w:styleId="Titre4Car">
    <w:name w:val="Titre 4 Car"/>
    <w:basedOn w:val="Policepardfaut"/>
    <w:link w:val="Titre4"/>
    <w:uiPriority w:val="9"/>
    <w:rsid w:val="003671B8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Titre5Car">
    <w:name w:val="Titre 5 Car"/>
    <w:basedOn w:val="Policepardfaut"/>
    <w:link w:val="Titre5"/>
    <w:uiPriority w:val="9"/>
    <w:rsid w:val="003671B8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Titre8Car">
    <w:name w:val="Titre 8 Car"/>
    <w:basedOn w:val="Policepardfaut"/>
    <w:link w:val="Titre8"/>
    <w:rsid w:val="007F5C5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Pieddepage">
    <w:name w:val="footer"/>
    <w:basedOn w:val="Normal"/>
    <w:link w:val="PieddepageCar"/>
    <w:uiPriority w:val="99"/>
    <w:rsid w:val="00364437"/>
    <w:pPr>
      <w:tabs>
        <w:tab w:val="center" w:pos="4536"/>
        <w:tab w:val="right" w:pos="9072"/>
      </w:tabs>
    </w:pPr>
    <w:rPr>
      <w:rFonts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364437"/>
    <w:rPr>
      <w:rFonts w:ascii="Calibri" w:eastAsia="Times New Roman" w:hAnsi="Calibri" w:cs="Times New Roman"/>
      <w:sz w:val="20"/>
      <w:szCs w:val="20"/>
    </w:rPr>
  </w:style>
  <w:style w:type="character" w:styleId="Lienhypertexte">
    <w:name w:val="Hyperlink"/>
    <w:rsid w:val="00364437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930E3D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EF4E7A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4E7A"/>
    <w:rPr>
      <w:rFonts w:ascii="Segoe UI" w:eastAsia="Times New Roman" w:hAnsi="Segoe UI" w:cs="Segoe UI"/>
      <w:sz w:val="18"/>
      <w:szCs w:val="18"/>
    </w:rPr>
  </w:style>
  <w:style w:type="paragraph" w:styleId="Corpsdetexte2">
    <w:name w:val="Body Text 2"/>
    <w:basedOn w:val="Normal"/>
    <w:link w:val="Corpsdetexte2Car"/>
    <w:uiPriority w:val="99"/>
    <w:unhideWhenUsed/>
    <w:rsid w:val="00BE28ED"/>
    <w:pPr>
      <w:spacing w:after="120" w:line="480" w:lineRule="auto"/>
    </w:pPr>
    <w:rPr>
      <w:rFonts w:cs="Times New Roman"/>
    </w:rPr>
  </w:style>
  <w:style w:type="character" w:customStyle="1" w:styleId="Corpsdetexte2Car">
    <w:name w:val="Corps de texte 2 Car"/>
    <w:basedOn w:val="Policepardfaut"/>
    <w:link w:val="Corpsdetexte2"/>
    <w:uiPriority w:val="99"/>
    <w:rsid w:val="00BE28ED"/>
    <w:rPr>
      <w:rFonts w:ascii="Calibri" w:eastAsia="Times New Roman" w:hAnsi="Calibri" w:cs="Times New Roman"/>
    </w:rPr>
  </w:style>
  <w:style w:type="paragraph" w:styleId="En-tte">
    <w:name w:val="header"/>
    <w:basedOn w:val="Normal"/>
    <w:link w:val="En-tteCar"/>
    <w:uiPriority w:val="99"/>
    <w:unhideWhenUsed/>
    <w:rsid w:val="00BE28ED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BE28ED"/>
    <w:rPr>
      <w:rFonts w:ascii="Calibri" w:eastAsia="Times New Roman" w:hAnsi="Calibri" w:cs="Calibri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3671B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paragraph" w:customStyle="1" w:styleId="TTTT">
    <w:name w:val="TTTT"/>
    <w:basedOn w:val="Normal"/>
    <w:qFormat/>
    <w:rsid w:val="003671B8"/>
    <w:pPr>
      <w:pBdr>
        <w:bottom w:val="thickThinSmallGap" w:sz="24" w:space="1" w:color="auto"/>
      </w:pBdr>
      <w:jc w:val="center"/>
    </w:pPr>
    <w:rPr>
      <w:rFonts w:ascii="Times New Roman" w:hAnsi="Times New Roman" w:cs="Times New Roman"/>
      <w:b/>
      <w:sz w:val="32"/>
      <w:szCs w:val="40"/>
      <w:lang w:eastAsia="fr-FR"/>
    </w:rPr>
  </w:style>
  <w:style w:type="paragraph" w:customStyle="1" w:styleId="TITRE10">
    <w:name w:val="TITRE1"/>
    <w:basedOn w:val="Normal"/>
    <w:qFormat/>
    <w:rsid w:val="003671B8"/>
    <w:pPr>
      <w:spacing w:line="360" w:lineRule="auto"/>
      <w:ind w:left="1035" w:hanging="495"/>
      <w:jc w:val="both"/>
    </w:pPr>
    <w:rPr>
      <w:rFonts w:ascii="Times New Roman" w:hAnsi="Times New Roman" w:cs="Times New Roman"/>
      <w:b/>
      <w:sz w:val="26"/>
      <w:szCs w:val="26"/>
      <w:lang w:eastAsia="fr-FR"/>
    </w:rPr>
  </w:style>
  <w:style w:type="paragraph" w:styleId="Lgende">
    <w:name w:val="caption"/>
    <w:basedOn w:val="Normal"/>
    <w:next w:val="Normal"/>
    <w:uiPriority w:val="35"/>
    <w:unhideWhenUsed/>
    <w:qFormat/>
    <w:rsid w:val="003671B8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Citation">
    <w:name w:val="Quote"/>
    <w:aliases w:val="Tableau"/>
    <w:basedOn w:val="Normal"/>
    <w:next w:val="Normal"/>
    <w:link w:val="CitationCar"/>
    <w:uiPriority w:val="29"/>
    <w:qFormat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character" w:customStyle="1" w:styleId="CitationCar">
    <w:name w:val="Citation Car"/>
    <w:aliases w:val="Tableau Car"/>
    <w:basedOn w:val="Policepardfaut"/>
    <w:link w:val="Citation"/>
    <w:uiPriority w:val="29"/>
    <w:rsid w:val="003671B8"/>
    <w:rPr>
      <w:rFonts w:ascii="Arial" w:eastAsia="Calibri" w:hAnsi="Arial" w:cs="Times New Roman"/>
      <w:iCs/>
      <w:color w:val="FFFFFF"/>
      <w:sz w:val="20"/>
      <w:lang w:val="fr-BE"/>
    </w:rPr>
  </w:style>
  <w:style w:type="paragraph" w:styleId="Tabledesillustrations">
    <w:name w:val="table of figures"/>
    <w:basedOn w:val="Normal"/>
    <w:next w:val="Normal"/>
    <w:uiPriority w:val="99"/>
    <w:unhideWhenUsed/>
    <w:rsid w:val="003671B8"/>
    <w:rPr>
      <w:rFonts w:ascii="Times New Roman" w:hAnsi="Times New Roman" w:cs="Times New Roman"/>
      <w:sz w:val="24"/>
      <w:szCs w:val="24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rsid w:val="003671B8"/>
    <w:rPr>
      <w:rFonts w:ascii="Times New Roman" w:hAnsi="Times New Roman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3671B8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notedebasdep">
    <w:name w:val="footnote reference"/>
    <w:uiPriority w:val="99"/>
    <w:semiHidden/>
    <w:rsid w:val="003671B8"/>
    <w:rPr>
      <w:vertAlign w:val="superscript"/>
    </w:rPr>
  </w:style>
  <w:style w:type="table" w:styleId="Grilledutableau">
    <w:name w:val="Table Grid"/>
    <w:basedOn w:val="TableauNormal"/>
    <w:uiPriority w:val="39"/>
    <w:rsid w:val="001A515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re">
    <w:name w:val="Title"/>
    <w:basedOn w:val="Normal"/>
    <w:link w:val="TitreCar"/>
    <w:qFormat/>
    <w:rsid w:val="005B1AEA"/>
    <w:pPr>
      <w:jc w:val="center"/>
    </w:pPr>
    <w:rPr>
      <w:rFonts w:ascii="Times New Roman" w:hAnsi="Times New Roman" w:cs="Times New Roman"/>
      <w:b/>
      <w:bCs/>
      <w:sz w:val="24"/>
      <w:szCs w:val="24"/>
      <w:lang w:eastAsia="fr-FR"/>
    </w:rPr>
  </w:style>
  <w:style w:type="character" w:customStyle="1" w:styleId="TitreCar">
    <w:name w:val="Titre Car"/>
    <w:basedOn w:val="Policepardfaut"/>
    <w:link w:val="Titre"/>
    <w:rsid w:val="005B1AEA"/>
    <w:rPr>
      <w:rFonts w:ascii="Times New Roman" w:eastAsia="Times New Roman" w:hAnsi="Times New Roman" w:cs="Times New Roman"/>
      <w:b/>
      <w:bCs/>
      <w:sz w:val="24"/>
      <w:szCs w:val="24"/>
      <w:lang w:eastAsia="fr-FR"/>
    </w:rPr>
  </w:style>
  <w:style w:type="paragraph" w:styleId="Rvision">
    <w:name w:val="Revision"/>
    <w:hidden/>
    <w:uiPriority w:val="99"/>
    <w:semiHidden/>
    <w:rsid w:val="00312227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315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8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hart" Target="charts/chart5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hart" Target="charts/chart4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chart" Target="charts/chart3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3.xlsx"/><Relationship Id="rId1" Type="http://schemas.openxmlformats.org/officeDocument/2006/relationships/themeOverride" Target="../theme/themeOverride3.xml"/></Relationships>
</file>

<file path=word/charts/_rels/chart4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4.xlsx"/><Relationship Id="rId1" Type="http://schemas.openxmlformats.org/officeDocument/2006/relationships/themeOverride" Target="../theme/themeOverride4.xml"/></Relationships>
</file>

<file path=word/charts/_rels/chart5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Feuille_de_calcul_Microsoft_Excel5.xlsx"/><Relationship Id="rId1" Type="http://schemas.openxmlformats.org/officeDocument/2006/relationships/themeOverride" Target="../theme/themeOverrid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9.0909090909091064E-2"/>
          <c:y val="4.1666807952229823E-2"/>
          <c:w val="0.86562620972218474"/>
          <c:h val="0.60639545056867883"/>
        </c:manualLayout>
      </c:layout>
      <c:lineChart>
        <c:grouping val="standard"/>
        <c:varyColors val="0"/>
        <c:ser>
          <c:idx val="0"/>
          <c:order val="0"/>
          <c:tx>
            <c:strRef>
              <c:f>'Evol taux d''inf'!$A$2</c:f>
              <c:strCache>
                <c:ptCount val="1"/>
                <c:pt idx="0">
                  <c:v>Taux d'inflation (en critère de convergence)</c:v>
                </c:pt>
              </c:strCache>
            </c:strRef>
          </c:tx>
          <c:dPt>
            <c:idx val="0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1-2809-41D3-8DBD-E4DDA1CBC088}"/>
              </c:ext>
            </c:extLst>
          </c:dPt>
          <c:dPt>
            <c:idx val="2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2-2809-41D3-8DBD-E4DDA1CBC088}"/>
              </c:ext>
            </c:extLst>
          </c:dPt>
          <c:dPt>
            <c:idx val="4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3-2809-41D3-8DBD-E4DDA1CBC088}"/>
              </c:ext>
            </c:extLst>
          </c:dPt>
          <c:dPt>
            <c:idx val="6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4-2809-41D3-8DBD-E4DDA1CBC088}"/>
              </c:ext>
            </c:extLst>
          </c:dPt>
          <c:dPt>
            <c:idx val="8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5-2809-41D3-8DBD-E4DDA1CBC088}"/>
              </c:ext>
            </c:extLst>
          </c:dPt>
          <c:dPt>
            <c:idx val="10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6-2809-41D3-8DBD-E4DDA1CBC088}"/>
              </c:ext>
            </c:extLst>
          </c:dPt>
          <c:dPt>
            <c:idx val="12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7-2809-41D3-8DBD-E4DDA1CBC088}"/>
              </c:ext>
            </c:extLst>
          </c:dPt>
          <c:dPt>
            <c:idx val="14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8-2809-41D3-8DBD-E4DDA1CBC088}"/>
              </c:ext>
            </c:extLst>
          </c:dPt>
          <c:dPt>
            <c:idx val="16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9-2809-41D3-8DBD-E4DDA1CBC088}"/>
              </c:ext>
            </c:extLst>
          </c:dPt>
          <c:dPt>
            <c:idx val="18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A-2809-41D3-8DBD-E4DDA1CBC088}"/>
              </c:ext>
            </c:extLst>
          </c:dPt>
          <c:dPt>
            <c:idx val="20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B-2809-41D3-8DBD-E4DDA1CBC088}"/>
              </c:ext>
            </c:extLst>
          </c:dPt>
          <c:dPt>
            <c:idx val="22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C-2809-41D3-8DBD-E4DDA1CBC088}"/>
              </c:ext>
            </c:extLst>
          </c:dPt>
          <c:dPt>
            <c:idx val="24"/>
            <c:marker>
              <c:symbol val="circle"/>
              <c:size val="7"/>
              <c:spPr>
                <a:solidFill>
                  <a:srgbClr val="FFC000"/>
                </a:solidFill>
              </c:spPr>
            </c:marker>
            <c:bubble3D val="0"/>
            <c:extLst xmlns:c16r2="http://schemas.microsoft.com/office/drawing/2015/06/chart">
              <c:ext xmlns:c16="http://schemas.microsoft.com/office/drawing/2014/chart" uri="{C3380CC4-5D6E-409C-BE32-E72D297353CC}">
                <c16:uniqueId val="{0000000D-2809-41D3-8DBD-E4DDA1CBC088}"/>
              </c:ext>
            </c:extLst>
          </c:dPt>
          <c:dLbls>
            <c:dLbl>
              <c:idx val="0"/>
              <c:layout>
                <c:manualLayout>
                  <c:x val="-2.6800670016750419E-2"/>
                  <c:y val="-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1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5633724176437765E-2"/>
                  <c:y val="-7.40740740740740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2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4.243439419318816E-2"/>
                  <c:y val="5.92592592592592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3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3.7967615857063132E-2"/>
                  <c:y val="-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4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4.690117252931323E-2"/>
                  <c:y val="8.888888888888889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5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3.5734226689000559E-2"/>
                  <c:y val="7.407407407407400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6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5.583472920156337E-2"/>
                  <c:y val="-7.40740740740741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7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-5.1367950865438383E-2"/>
                  <c:y val="-8.14814814814814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8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-4.0201005025125712E-2"/>
                  <c:y val="-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9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18"/>
              <c:layout>
                <c:manualLayout>
                  <c:x val="-1.7867113344500363E-2"/>
                  <c:y val="-5.92592592592592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A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20"/>
              <c:layout>
                <c:manualLayout>
                  <c:x val="-4.4667783361250699E-2"/>
                  <c:y val="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B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22"/>
              <c:layout>
                <c:manualLayout>
                  <c:x val="-3.796761585706309E-2"/>
                  <c:y val="6.666666666666666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C-2809-41D3-8DBD-E4DDA1CBC088}"/>
                </c:ext>
                <c:ext xmlns:c15="http://schemas.microsoft.com/office/drawing/2012/chart" uri="{CE6537A1-D6FC-4f65-9D91-7224C49458BB}"/>
              </c:extLst>
            </c:dLbl>
            <c:dLbl>
              <c:idx val="24"/>
              <c:layout>
                <c:manualLayout>
                  <c:x val="-2.0100502512562814E-2"/>
                  <c:y val="5.925925925925926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 xmlns:c16r2="http://schemas.microsoft.com/office/drawing/2015/06/chart">
                <c:ext xmlns:c16="http://schemas.microsoft.com/office/drawing/2014/chart" uri="{C3380CC4-5D6E-409C-BE32-E72D297353CC}">
                  <c16:uniqueId val="{0000000D-2809-41D3-8DBD-E4DDA1CBC088}"/>
                </c:ex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>
                    <a:solidFill>
                      <a:schemeClr val="accent2">
                        <a:lumMod val="75000"/>
                      </a:schemeClr>
                    </a:solidFill>
                  </a:defRPr>
                </a:pPr>
                <a:endParaRPr lang="fr-FR"/>
              </a:p>
            </c:txPr>
            <c:showLegendKey val="0"/>
            <c:showVal val="0"/>
            <c:showCatName val="0"/>
            <c:showSerName val="0"/>
            <c:showPercent val="0"/>
            <c:showBubbleSize val="0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</c:ext>
            </c:extLst>
          </c:dLbls>
          <c:cat>
            <c:numRef>
              <c:f>'Evol taux d''inf'!$B$1:$Z$1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'Evol taux d''inf'!$B$2:$Z$2</c:f>
              <c:numCache>
                <c:formatCode>0.0%</c:formatCode>
                <c:ptCount val="25"/>
                <c:pt idx="0">
                  <c:v>3.0329060342132008E-2</c:v>
                </c:pt>
                <c:pt idx="1">
                  <c:v>2.9391104130768841E-2</c:v>
                </c:pt>
                <c:pt idx="2">
                  <c:v>2.4949712847138317E-2</c:v>
                </c:pt>
                <c:pt idx="3">
                  <c:v>2.2719891866336717E-2</c:v>
                </c:pt>
                <c:pt idx="4">
                  <c:v>2.046137780389512E-2</c:v>
                </c:pt>
                <c:pt idx="5">
                  <c:v>2.0001957279557114E-2</c:v>
                </c:pt>
                <c:pt idx="6">
                  <c:v>2.0691511473759805E-2</c:v>
                </c:pt>
                <c:pt idx="7">
                  <c:v>1.957546959878198E-2</c:v>
                </c:pt>
                <c:pt idx="8">
                  <c:v>1.6923801131397687E-2</c:v>
                </c:pt>
                <c:pt idx="9">
                  <c:v>1.5442069649294954E-2</c:v>
                </c:pt>
                <c:pt idx="10">
                  <c:v>1.3735069666646949E-2</c:v>
                </c:pt>
                <c:pt idx="11">
                  <c:v>1.410815782786079E-2</c:v>
                </c:pt>
                <c:pt idx="12">
                  <c:v>1.7335523417539411E-2</c:v>
                </c:pt>
                <c:pt idx="13">
                  <c:v>2.4245783972732804E-2</c:v>
                </c:pt>
                <c:pt idx="14">
                  <c:v>2.780479680229786E-2</c:v>
                </c:pt>
                <c:pt idx="15">
                  <c:v>2.9925621969199678E-2</c:v>
                </c:pt>
                <c:pt idx="16">
                  <c:v>3.0378846230730172E-2</c:v>
                </c:pt>
                <c:pt idx="17">
                  <c:v>2.9299355066882526E-2</c:v>
                </c:pt>
                <c:pt idx="18">
                  <c:v>2.3148152554035351E-2</c:v>
                </c:pt>
                <c:pt idx="19">
                  <c:v>2.0035842998918696E-2</c:v>
                </c:pt>
                <c:pt idx="20">
                  <c:v>1.8593675844323254E-2</c:v>
                </c:pt>
                <c:pt idx="21">
                  <c:v>1.4778843355444771E-2</c:v>
                </c:pt>
                <c:pt idx="22">
                  <c:v>1.4633379832977189E-2</c:v>
                </c:pt>
                <c:pt idx="23">
                  <c:v>1.524523253734289E-2</c:v>
                </c:pt>
                <c:pt idx="24">
                  <c:v>1.3507659688613227E-2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2809-41D3-8DBD-E4DDA1CBC08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4148880"/>
        <c:axId val="14149424"/>
      </c:lineChart>
      <c:dateAx>
        <c:axId val="1414888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149424"/>
        <c:crosses val="autoZero"/>
        <c:auto val="1"/>
        <c:lblOffset val="100"/>
        <c:baseTimeUnit val="months"/>
        <c:majorUnit val="1"/>
        <c:majorTimeUnit val="months"/>
      </c:dateAx>
      <c:valAx>
        <c:axId val="14149424"/>
        <c:scaling>
          <c:orientation val="minMax"/>
        </c:scaling>
        <c:delete val="0"/>
        <c:axPos val="l"/>
        <c:numFmt formatCode="0.0%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4148880"/>
        <c:crosses val="autoZero"/>
        <c:crossBetween val="between"/>
      </c:valAx>
    </c:plotArea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3888910761154855"/>
          <c:y val="3.7037037037037056E-2"/>
          <c:w val="0.84190266841644801"/>
          <c:h val="0.6013702512538045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IHPFE'!$A$2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global et IHPFE'!$B$2:$Z$2</c:f>
              <c:numCache>
                <c:formatCode>0.0</c:formatCode>
                <c:ptCount val="25"/>
                <c:pt idx="0">
                  <c:v>102.621852</c:v>
                </c:pt>
                <c:pt idx="1">
                  <c:v>102.31235800000002</c:v>
                </c:pt>
                <c:pt idx="2">
                  <c:v>102.30360144000001</c:v>
                </c:pt>
                <c:pt idx="3">
                  <c:v>103.15378400000002</c:v>
                </c:pt>
                <c:pt idx="4">
                  <c:v>104.28343799999999</c:v>
                </c:pt>
                <c:pt idx="5">
                  <c:v>106.32774041891049</c:v>
                </c:pt>
                <c:pt idx="6">
                  <c:v>109.1818787837024</c:v>
                </c:pt>
                <c:pt idx="7">
                  <c:v>108.16446611285173</c:v>
                </c:pt>
                <c:pt idx="8">
                  <c:v>106.29925759434663</c:v>
                </c:pt>
                <c:pt idx="9">
                  <c:v>107.56989677548353</c:v>
                </c:pt>
                <c:pt idx="10">
                  <c:v>107.33994634747468</c:v>
                </c:pt>
                <c:pt idx="11">
                  <c:v>107.05989628910976</c:v>
                </c:pt>
                <c:pt idx="12">
                  <c:v>107.75218646287877</c:v>
                </c:pt>
                <c:pt idx="13">
                  <c:v>110.40026122689206</c:v>
                </c:pt>
                <c:pt idx="14">
                  <c:v>104.83205966710999</c:v>
                </c:pt>
                <c:pt idx="15">
                  <c:v>105.23630400597996</c:v>
                </c:pt>
                <c:pt idx="16">
                  <c:v>105.36215931653932</c:v>
                </c:pt>
                <c:pt idx="17">
                  <c:v>106.81256279230062</c:v>
                </c:pt>
                <c:pt idx="18">
                  <c:v>106.38640409231144</c:v>
                </c:pt>
                <c:pt idx="19">
                  <c:v>107.12113171339004</c:v>
                </c:pt>
                <c:pt idx="20">
                  <c:v>106.00096743822066</c:v>
                </c:pt>
                <c:pt idx="21">
                  <c:v>105.89260616779274</c:v>
                </c:pt>
                <c:pt idx="22">
                  <c:v>109.60664458274806</c:v>
                </c:pt>
                <c:pt idx="23">
                  <c:v>110.52471600651687</c:v>
                </c:pt>
                <c:pt idx="24">
                  <c:v>110.7509784901137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4D2-4BEA-84A4-302A1E626723}"/>
            </c:ext>
          </c:extLst>
        </c:ser>
        <c:ser>
          <c:idx val="1"/>
          <c:order val="1"/>
          <c:tx>
            <c:strRef>
              <c:f>'Indice global et IHPFE'!$A$3</c:f>
              <c:strCache>
                <c:ptCount val="1"/>
                <c:pt idx="0">
                  <c:v>Indice hors énergie, hors produits frais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global et IHPFE'!$B$1:$Z$1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global et IHPFE'!$B$3:$Z$3</c:f>
              <c:numCache>
                <c:formatCode>General</c:formatCode>
                <c:ptCount val="25"/>
                <c:pt idx="0">
                  <c:v>105.33</c:v>
                </c:pt>
                <c:pt idx="1">
                  <c:v>104.8</c:v>
                </c:pt>
                <c:pt idx="2">
                  <c:v>104.56829416562344</c:v>
                </c:pt>
                <c:pt idx="3">
                  <c:v>104.66892691855392</c:v>
                </c:pt>
                <c:pt idx="4">
                  <c:v>105.14007150715071</c:v>
                </c:pt>
                <c:pt idx="5">
                  <c:v>105.6675296591801</c:v>
                </c:pt>
                <c:pt idx="6">
                  <c:v>106.84455909299248</c:v>
                </c:pt>
                <c:pt idx="7">
                  <c:v>106.83671947366405</c:v>
                </c:pt>
                <c:pt idx="8">
                  <c:v>105.66950166667647</c:v>
                </c:pt>
                <c:pt idx="9">
                  <c:v>107.05137024900802</c:v>
                </c:pt>
                <c:pt idx="10">
                  <c:v>107.05307034493572</c:v>
                </c:pt>
                <c:pt idx="11">
                  <c:v>107.33728962679209</c:v>
                </c:pt>
                <c:pt idx="12">
                  <c:v>107.69873857498099</c:v>
                </c:pt>
                <c:pt idx="13">
                  <c:v>109.59462030960603</c:v>
                </c:pt>
                <c:pt idx="14">
                  <c:v>105.73098885895877</c:v>
                </c:pt>
                <c:pt idx="15">
                  <c:v>106.19227445874888</c:v>
                </c:pt>
                <c:pt idx="16">
                  <c:v>106.58468951244544</c:v>
                </c:pt>
                <c:pt idx="17">
                  <c:v>107.56599484838587</c:v>
                </c:pt>
                <c:pt idx="18">
                  <c:v>107.33662690786512</c:v>
                </c:pt>
                <c:pt idx="19">
                  <c:v>108.22798446019128</c:v>
                </c:pt>
                <c:pt idx="20">
                  <c:v>108.42477583563139</c:v>
                </c:pt>
                <c:pt idx="21">
                  <c:v>108.52305678633208</c:v>
                </c:pt>
                <c:pt idx="22">
                  <c:v>110.23675575985204</c:v>
                </c:pt>
                <c:pt idx="23">
                  <c:v>110.70122302962248</c:v>
                </c:pt>
                <c:pt idx="24">
                  <c:v>110.86437446438107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4D2-4BEA-84A4-302A1E62672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30768"/>
        <c:axId val="13734032"/>
      </c:lineChart>
      <c:dateAx>
        <c:axId val="13730768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3403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3734032"/>
        <c:scaling>
          <c:orientation val="minMax"/>
          <c:min val="98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3076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0891764767027884"/>
          <c:y val="0.83949823173511751"/>
          <c:w val="0.79791796809246618"/>
          <c:h val="7.6389288548233583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9.0909090909091064E-2"/>
          <c:y val="4.1666807952229816E-2"/>
          <c:w val="0.83442050263197665"/>
          <c:h val="0.63542754524105538"/>
        </c:manualLayout>
      </c:layout>
      <c:lineChart>
        <c:grouping val="standard"/>
        <c:varyColors val="0"/>
        <c:ser>
          <c:idx val="0"/>
          <c:order val="0"/>
          <c:tx>
            <c:strRef>
              <c:f>'Indice global et produits alime'!$A$2</c:f>
              <c:strCache>
                <c:ptCount val="1"/>
                <c:pt idx="0">
                  <c:v>indice global</c:v>
                </c:pt>
              </c:strCache>
            </c:strRef>
          </c:tx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global et produits alime'!$B$2:$Z$2</c:f>
              <c:numCache>
                <c:formatCode>0.0</c:formatCode>
                <c:ptCount val="25"/>
                <c:pt idx="0">
                  <c:v>102.621852</c:v>
                </c:pt>
                <c:pt idx="1">
                  <c:v>102.31235800000002</c:v>
                </c:pt>
                <c:pt idx="2">
                  <c:v>102.30360144000001</c:v>
                </c:pt>
                <c:pt idx="3">
                  <c:v>103.15378400000002</c:v>
                </c:pt>
                <c:pt idx="4">
                  <c:v>104.28343799999999</c:v>
                </c:pt>
                <c:pt idx="5">
                  <c:v>106.32774041891049</c:v>
                </c:pt>
                <c:pt idx="6">
                  <c:v>109.1818787837024</c:v>
                </c:pt>
                <c:pt idx="7">
                  <c:v>108.16446611285173</c:v>
                </c:pt>
                <c:pt idx="8">
                  <c:v>106.29925759434663</c:v>
                </c:pt>
                <c:pt idx="9">
                  <c:v>107.56989677548353</c:v>
                </c:pt>
                <c:pt idx="10">
                  <c:v>107.33994634747468</c:v>
                </c:pt>
                <c:pt idx="11">
                  <c:v>107.05989628910976</c:v>
                </c:pt>
                <c:pt idx="12">
                  <c:v>107.75218646287877</c:v>
                </c:pt>
                <c:pt idx="13">
                  <c:v>110.40026122689206</c:v>
                </c:pt>
                <c:pt idx="14">
                  <c:v>104.83205966710999</c:v>
                </c:pt>
                <c:pt idx="15">
                  <c:v>105.23630400597996</c:v>
                </c:pt>
                <c:pt idx="16">
                  <c:v>105.36215931653932</c:v>
                </c:pt>
                <c:pt idx="17">
                  <c:v>106.81256279230062</c:v>
                </c:pt>
                <c:pt idx="18">
                  <c:v>106.38640409231144</c:v>
                </c:pt>
                <c:pt idx="19">
                  <c:v>107.12113171339004</c:v>
                </c:pt>
                <c:pt idx="20">
                  <c:v>106.00096743822066</c:v>
                </c:pt>
                <c:pt idx="21">
                  <c:v>105.89260616779274</c:v>
                </c:pt>
                <c:pt idx="22">
                  <c:v>109.60664458274806</c:v>
                </c:pt>
                <c:pt idx="23">
                  <c:v>110.52471600651687</c:v>
                </c:pt>
                <c:pt idx="24">
                  <c:v>110.7509784901137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59C7-48FF-BE4A-7DCE4D2FC97E}"/>
            </c:ext>
          </c:extLst>
        </c:ser>
        <c:ser>
          <c:idx val="1"/>
          <c:order val="1"/>
          <c:tx>
            <c:strRef>
              <c:f>'Indice global et produits alime'!$A$3</c:f>
              <c:strCache>
                <c:ptCount val="1"/>
                <c:pt idx="0">
                  <c:v>Indice produits alimentaires et boissons non alcoolisées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global et produits alime'!$B$1:$Z$1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global et produits alime'!$B$3:$Z$3</c:f>
              <c:numCache>
                <c:formatCode>General</c:formatCode>
                <c:ptCount val="25"/>
                <c:pt idx="0">
                  <c:v>101.19</c:v>
                </c:pt>
                <c:pt idx="1">
                  <c:v>101.22</c:v>
                </c:pt>
                <c:pt idx="2">
                  <c:v>101.04047365516433</c:v>
                </c:pt>
                <c:pt idx="3">
                  <c:v>103.58</c:v>
                </c:pt>
                <c:pt idx="4">
                  <c:v>106.02</c:v>
                </c:pt>
                <c:pt idx="5">
                  <c:v>110.73483228683401</c:v>
                </c:pt>
                <c:pt idx="6">
                  <c:v>117.779791355133</c:v>
                </c:pt>
                <c:pt idx="7">
                  <c:v>114.96949195861799</c:v>
                </c:pt>
                <c:pt idx="8">
                  <c:v>110.011076927185</c:v>
                </c:pt>
                <c:pt idx="9">
                  <c:v>113.206231594085</c:v>
                </c:pt>
                <c:pt idx="10">
                  <c:v>112.219178676605</c:v>
                </c:pt>
                <c:pt idx="11">
                  <c:v>110.460257530212</c:v>
                </c:pt>
                <c:pt idx="12">
                  <c:v>112.56490945816</c:v>
                </c:pt>
                <c:pt idx="13">
                  <c:v>116.866731643676</c:v>
                </c:pt>
                <c:pt idx="14">
                  <c:v>105.602884292602</c:v>
                </c:pt>
                <c:pt idx="15">
                  <c:v>105.610561370849</c:v>
                </c:pt>
                <c:pt idx="16">
                  <c:v>104.88466024398799</c:v>
                </c:pt>
                <c:pt idx="17">
                  <c:v>108.817279338836</c:v>
                </c:pt>
                <c:pt idx="18">
                  <c:v>107.21449851989701</c:v>
                </c:pt>
                <c:pt idx="19">
                  <c:v>108.878207206726</c:v>
                </c:pt>
                <c:pt idx="20">
                  <c:v>105.68950176238999</c:v>
                </c:pt>
                <c:pt idx="21">
                  <c:v>105.146706104278</c:v>
                </c:pt>
                <c:pt idx="22">
                  <c:v>111.34638786315899</c:v>
                </c:pt>
                <c:pt idx="23">
                  <c:v>111.76638603210399</c:v>
                </c:pt>
                <c:pt idx="24">
                  <c:v>112.162244319915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59C7-48FF-BE4A-7DCE4D2FC97E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35664"/>
        <c:axId val="13731856"/>
      </c:lineChart>
      <c:dateAx>
        <c:axId val="1373566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31856"/>
        <c:crossesAt val="90"/>
        <c:auto val="1"/>
        <c:lblOffset val="100"/>
        <c:baseTimeUnit val="months"/>
        <c:majorUnit val="1"/>
        <c:majorTimeUnit val="months"/>
      </c:dateAx>
      <c:valAx>
        <c:axId val="13731856"/>
        <c:scaling>
          <c:orientation val="minMax"/>
          <c:min val="90"/>
        </c:scaling>
        <c:delete val="0"/>
        <c:axPos val="l"/>
        <c:numFmt formatCode="0.0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3566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7652270210409747E-2"/>
          <c:y val="0.88188258046691537"/>
          <c:w val="0.95869805477400305"/>
          <c:h val="9.0424091725376438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8.9583333333333348E-2"/>
          <c:y val="4.1666666666666664E-2"/>
          <c:w val="0.8125"/>
          <c:h val="0.55516268013668102"/>
        </c:manualLayout>
      </c:layout>
      <c:lineChart>
        <c:grouping val="standard"/>
        <c:varyColors val="0"/>
        <c:ser>
          <c:idx val="0"/>
          <c:order val="0"/>
          <c:tx>
            <c:strRef>
              <c:f>'Indice logement et transport'!$A$2</c:f>
              <c:strCache>
                <c:ptCount val="1"/>
                <c:pt idx="0">
                  <c:v>Indice logement,eau, gaz, électricité et autres combustibles</c:v>
                </c:pt>
              </c:strCache>
            </c:strRef>
          </c:tx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logement et transport'!$B$2:$Z$2</c:f>
              <c:numCache>
                <c:formatCode>General</c:formatCode>
                <c:ptCount val="25"/>
                <c:pt idx="0">
                  <c:v>97.55</c:v>
                </c:pt>
                <c:pt idx="1">
                  <c:v>98.28</c:v>
                </c:pt>
                <c:pt idx="2">
                  <c:v>97.674804430216724</c:v>
                </c:pt>
                <c:pt idx="3">
                  <c:v>97.35</c:v>
                </c:pt>
                <c:pt idx="4">
                  <c:v>97.99</c:v>
                </c:pt>
                <c:pt idx="5">
                  <c:v>100.857210159301</c:v>
                </c:pt>
                <c:pt idx="6">
                  <c:v>102.324151992797</c:v>
                </c:pt>
                <c:pt idx="7">
                  <c:v>102.58845090865999</c:v>
                </c:pt>
                <c:pt idx="8">
                  <c:v>102.26160287857</c:v>
                </c:pt>
                <c:pt idx="9">
                  <c:v>102.36048698425201</c:v>
                </c:pt>
                <c:pt idx="10">
                  <c:v>102.53813266754101</c:v>
                </c:pt>
                <c:pt idx="11">
                  <c:v>102.928376197814</c:v>
                </c:pt>
                <c:pt idx="12">
                  <c:v>102.34892368316601</c:v>
                </c:pt>
                <c:pt idx="13">
                  <c:v>103.722012042999</c:v>
                </c:pt>
                <c:pt idx="14">
                  <c:v>97.680795192718506</c:v>
                </c:pt>
                <c:pt idx="15">
                  <c:v>98.587340116500798</c:v>
                </c:pt>
                <c:pt idx="16">
                  <c:v>100.38269758224401</c:v>
                </c:pt>
                <c:pt idx="17">
                  <c:v>101.43049955367999</c:v>
                </c:pt>
                <c:pt idx="18">
                  <c:v>102.029454708099</c:v>
                </c:pt>
                <c:pt idx="19">
                  <c:v>102.170193195343</c:v>
                </c:pt>
                <c:pt idx="20">
                  <c:v>102.101254463195</c:v>
                </c:pt>
                <c:pt idx="21">
                  <c:v>101.804602146148</c:v>
                </c:pt>
                <c:pt idx="22">
                  <c:v>108.50214958190899</c:v>
                </c:pt>
                <c:pt idx="23">
                  <c:v>109.81848239898601</c:v>
                </c:pt>
                <c:pt idx="24">
                  <c:v>109.62488651275601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62C-487A-89F0-5CAD3CD1C925}"/>
            </c:ext>
          </c:extLst>
        </c:ser>
        <c:ser>
          <c:idx val="1"/>
          <c:order val="1"/>
          <c:tx>
            <c:strRef>
              <c:f>'Indice logement et transport'!$A$3</c:f>
              <c:strCache>
                <c:ptCount val="1"/>
                <c:pt idx="0">
                  <c:v>Indice transport</c:v>
                </c:pt>
              </c:strCache>
            </c:strRef>
          </c:tx>
          <c:spPr>
            <a:ln>
              <a:prstDash val="sysDash"/>
              <a:headEnd type="oval"/>
            </a:ln>
          </c:spPr>
          <c:marker>
            <c:symbol val="none"/>
          </c:marker>
          <c:cat>
            <c:numRef>
              <c:f>'Indice logement et transport'!$B$1:$Z$1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logement et transport'!$B$3:$Z$3</c:f>
              <c:numCache>
                <c:formatCode>General</c:formatCode>
                <c:ptCount val="25"/>
                <c:pt idx="0">
                  <c:v>107.55</c:v>
                </c:pt>
                <c:pt idx="1">
                  <c:v>104.57</c:v>
                </c:pt>
                <c:pt idx="2">
                  <c:v>105.0558416730935</c:v>
                </c:pt>
                <c:pt idx="3">
                  <c:v>105.04</c:v>
                </c:pt>
                <c:pt idx="4">
                  <c:v>106.11</c:v>
                </c:pt>
                <c:pt idx="5">
                  <c:v>105.568242073059</c:v>
                </c:pt>
                <c:pt idx="6">
                  <c:v>105.739200115203</c:v>
                </c:pt>
                <c:pt idx="7">
                  <c:v>105.76159954070999</c:v>
                </c:pt>
                <c:pt idx="8">
                  <c:v>105.67708015441799</c:v>
                </c:pt>
                <c:pt idx="9">
                  <c:v>105.362892150878</c:v>
                </c:pt>
                <c:pt idx="10">
                  <c:v>106.42944574356</c:v>
                </c:pt>
                <c:pt idx="11">
                  <c:v>108.47555398941</c:v>
                </c:pt>
                <c:pt idx="12">
                  <c:v>107.92984962463299</c:v>
                </c:pt>
                <c:pt idx="13">
                  <c:v>108.139634132385</c:v>
                </c:pt>
                <c:pt idx="14">
                  <c:v>109.400141239166</c:v>
                </c:pt>
                <c:pt idx="15">
                  <c:v>111.930847167968</c:v>
                </c:pt>
                <c:pt idx="16">
                  <c:v>111.482143402099</c:v>
                </c:pt>
                <c:pt idx="17">
                  <c:v>110.964882373809</c:v>
                </c:pt>
                <c:pt idx="18">
                  <c:v>111.635375022888</c:v>
                </c:pt>
                <c:pt idx="19">
                  <c:v>112.232685089111</c:v>
                </c:pt>
                <c:pt idx="20">
                  <c:v>112.315344810485</c:v>
                </c:pt>
                <c:pt idx="21">
                  <c:v>112.49982118606501</c:v>
                </c:pt>
                <c:pt idx="22">
                  <c:v>116.542017459869</c:v>
                </c:pt>
                <c:pt idx="23">
                  <c:v>120.741605758666</c:v>
                </c:pt>
                <c:pt idx="24">
                  <c:v>120.543050765991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62C-487A-89F0-5CAD3CD1C92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32944"/>
        <c:axId val="13729680"/>
      </c:lineChart>
      <c:dateAx>
        <c:axId val="13732944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29680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3729680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32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4779266830056839"/>
          <c:y val="0.84460456593869171"/>
          <c:w val="0.78333479148439789"/>
          <c:h val="9.6174416877135627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spPr>
    <a:ln>
      <a:prstDash val="sysDash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fr-F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00002034509351"/>
          <c:y val="4.1666807952229816E-2"/>
          <c:w val="0.822314085739281"/>
          <c:h val="0.65745255176436279"/>
        </c:manualLayout>
      </c:layout>
      <c:lineChart>
        <c:grouping val="standard"/>
        <c:varyColors val="0"/>
        <c:ser>
          <c:idx val="0"/>
          <c:order val="0"/>
          <c:tx>
            <c:strRef>
              <c:f>'Indice origine'!$A$2</c:f>
              <c:strCache>
                <c:ptCount val="1"/>
                <c:pt idx="0">
                  <c:v>Importés</c:v>
                </c:pt>
              </c:strCache>
            </c:strRef>
          </c:tx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origine'!$B$2:$Z$2</c:f>
              <c:numCache>
                <c:formatCode>General</c:formatCode>
                <c:ptCount val="25"/>
                <c:pt idx="0">
                  <c:v>101.4</c:v>
                </c:pt>
                <c:pt idx="1">
                  <c:v>101.33</c:v>
                </c:pt>
                <c:pt idx="2">
                  <c:v>101.14924783602839</c:v>
                </c:pt>
                <c:pt idx="3">
                  <c:v>101.27040490879355</c:v>
                </c:pt>
                <c:pt idx="4">
                  <c:v>101.53138203952606</c:v>
                </c:pt>
                <c:pt idx="5">
                  <c:v>101.41929622882527</c:v>
                </c:pt>
                <c:pt idx="6">
                  <c:v>101.68221461853814</c:v>
                </c:pt>
                <c:pt idx="7">
                  <c:v>101.70117978118367</c:v>
                </c:pt>
                <c:pt idx="8">
                  <c:v>101.77483585818874</c:v>
                </c:pt>
                <c:pt idx="9">
                  <c:v>101.83851959382045</c:v>
                </c:pt>
                <c:pt idx="10">
                  <c:v>102.45194436456735</c:v>
                </c:pt>
                <c:pt idx="11">
                  <c:v>102.90247803714354</c:v>
                </c:pt>
                <c:pt idx="12">
                  <c:v>103.22048664093001</c:v>
                </c:pt>
                <c:pt idx="13">
                  <c:v>105.11095026445798</c:v>
                </c:pt>
                <c:pt idx="14">
                  <c:v>103.94473644269752</c:v>
                </c:pt>
                <c:pt idx="15">
                  <c:v>105.42422860327686</c:v>
                </c:pt>
                <c:pt idx="16">
                  <c:v>106.90233801169819</c:v>
                </c:pt>
                <c:pt idx="17">
                  <c:v>107.55406003363123</c:v>
                </c:pt>
                <c:pt idx="18">
                  <c:v>107.91518440854162</c:v>
                </c:pt>
                <c:pt idx="19">
                  <c:v>108.25769165160966</c:v>
                </c:pt>
                <c:pt idx="20">
                  <c:v>108.43740246735</c:v>
                </c:pt>
                <c:pt idx="21">
                  <c:v>108.63790424664157</c:v>
                </c:pt>
                <c:pt idx="22">
                  <c:v>111.82232573477896</c:v>
                </c:pt>
                <c:pt idx="23">
                  <c:v>113.12120864573534</c:v>
                </c:pt>
                <c:pt idx="24">
                  <c:v>113.54184789211273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C104-4BD8-A67A-C6FFF2A0DBED}"/>
            </c:ext>
          </c:extLst>
        </c:ser>
        <c:ser>
          <c:idx val="1"/>
          <c:order val="1"/>
          <c:tx>
            <c:strRef>
              <c:f>'Indice origine'!$A$3</c:f>
              <c:strCache>
                <c:ptCount val="1"/>
                <c:pt idx="0">
                  <c:v>Locaux</c:v>
                </c:pt>
              </c:strCache>
            </c:strRef>
          </c:tx>
          <c:spPr>
            <a:ln>
              <a:prstDash val="sysDash"/>
              <a:headEnd type="diamond"/>
            </a:ln>
          </c:spPr>
          <c:marker>
            <c:symbol val="none"/>
          </c:marker>
          <c:cat>
            <c:numRef>
              <c:f>'Indice origine'!$B$1:$Z$1</c:f>
              <c:numCache>
                <c:formatCode>mmm\-yy</c:formatCode>
                <c:ptCount val="25"/>
                <c:pt idx="0">
                  <c:v>44166</c:v>
                </c:pt>
                <c:pt idx="1">
                  <c:v>44197</c:v>
                </c:pt>
                <c:pt idx="2">
                  <c:v>44228</c:v>
                </c:pt>
                <c:pt idx="3">
                  <c:v>44256</c:v>
                </c:pt>
                <c:pt idx="4">
                  <c:v>44287</c:v>
                </c:pt>
                <c:pt idx="5">
                  <c:v>44317</c:v>
                </c:pt>
                <c:pt idx="6">
                  <c:v>44348</c:v>
                </c:pt>
                <c:pt idx="7">
                  <c:v>44378</c:v>
                </c:pt>
                <c:pt idx="8">
                  <c:v>44409</c:v>
                </c:pt>
                <c:pt idx="9">
                  <c:v>44440</c:v>
                </c:pt>
                <c:pt idx="10">
                  <c:v>44470</c:v>
                </c:pt>
                <c:pt idx="11">
                  <c:v>44501</c:v>
                </c:pt>
                <c:pt idx="12">
                  <c:v>44531</c:v>
                </c:pt>
                <c:pt idx="13">
                  <c:v>44562</c:v>
                </c:pt>
                <c:pt idx="14">
                  <c:v>44593</c:v>
                </c:pt>
                <c:pt idx="15">
                  <c:v>44621</c:v>
                </c:pt>
                <c:pt idx="16">
                  <c:v>44652</c:v>
                </c:pt>
                <c:pt idx="17">
                  <c:v>44682</c:v>
                </c:pt>
                <c:pt idx="18">
                  <c:v>44713</c:v>
                </c:pt>
                <c:pt idx="19">
                  <c:v>44743</c:v>
                </c:pt>
                <c:pt idx="20">
                  <c:v>44774</c:v>
                </c:pt>
                <c:pt idx="21">
                  <c:v>44805</c:v>
                </c:pt>
                <c:pt idx="22">
                  <c:v>44835</c:v>
                </c:pt>
                <c:pt idx="23">
                  <c:v>44866</c:v>
                </c:pt>
                <c:pt idx="24">
                  <c:v>44896</c:v>
                </c:pt>
              </c:numCache>
            </c:numRef>
          </c:cat>
          <c:val>
            <c:numRef>
              <c:f>'Indice origine'!$B$3:$Z$3</c:f>
              <c:numCache>
                <c:formatCode>General</c:formatCode>
                <c:ptCount val="25"/>
                <c:pt idx="0">
                  <c:v>103.85</c:v>
                </c:pt>
                <c:pt idx="1">
                  <c:v>103.17</c:v>
                </c:pt>
                <c:pt idx="2">
                  <c:v>102.39003617308856</c:v>
                </c:pt>
                <c:pt idx="3">
                  <c:v>103.78487362236905</c:v>
                </c:pt>
                <c:pt idx="4">
                  <c:v>105.2054774109464</c:v>
                </c:pt>
                <c:pt idx="5">
                  <c:v>108.46099649888423</c:v>
                </c:pt>
                <c:pt idx="6">
                  <c:v>112.75073520760183</c:v>
                </c:pt>
                <c:pt idx="7">
                  <c:v>111.01792413688307</c:v>
                </c:pt>
                <c:pt idx="8">
                  <c:v>108.22085373359023</c:v>
                </c:pt>
                <c:pt idx="9">
                  <c:v>109.90594983558944</c:v>
                </c:pt>
                <c:pt idx="10">
                  <c:v>109.49502323161643</c:v>
                </c:pt>
                <c:pt idx="11">
                  <c:v>108.8429160092459</c:v>
                </c:pt>
                <c:pt idx="12">
                  <c:v>110.188245773315</c:v>
                </c:pt>
                <c:pt idx="13">
                  <c:v>112.66097233473309</c:v>
                </c:pt>
                <c:pt idx="14">
                  <c:v>105.04704040313499</c:v>
                </c:pt>
                <c:pt idx="15">
                  <c:v>106.42046808679429</c:v>
                </c:pt>
                <c:pt idx="16">
                  <c:v>105.92433258667694</c:v>
                </c:pt>
                <c:pt idx="17">
                  <c:v>108.85311983545233</c:v>
                </c:pt>
                <c:pt idx="18">
                  <c:v>107.05301629919595</c:v>
                </c:pt>
                <c:pt idx="19">
                  <c:v>107.23404809645832</c:v>
                </c:pt>
                <c:pt idx="20">
                  <c:v>105.71461940122745</c:v>
                </c:pt>
                <c:pt idx="21">
                  <c:v>104.97037040821142</c:v>
                </c:pt>
                <c:pt idx="22">
                  <c:v>109.04841738214918</c:v>
                </c:pt>
                <c:pt idx="23">
                  <c:v>109.86758236534116</c:v>
                </c:pt>
                <c:pt idx="24">
                  <c:v>109.71600233453766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1-C104-4BD8-A67A-C6FFF2A0DBE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13732400"/>
        <c:axId val="1271090032"/>
      </c:lineChart>
      <c:dateAx>
        <c:axId val="13732400"/>
        <c:scaling>
          <c:orientation val="minMax"/>
        </c:scaling>
        <c:delete val="0"/>
        <c:axPos val="b"/>
        <c:numFmt formatCode="mmm\-yy" sourceLinked="0"/>
        <c:majorTickMark val="out"/>
        <c:minorTickMark val="none"/>
        <c:tickLblPos val="nextTo"/>
        <c:txPr>
          <a:bodyPr rot="-2700000" vert="horz"/>
          <a:lstStyle/>
          <a:p>
            <a:pPr>
              <a:defRPr sz="8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271090032"/>
        <c:crosses val="autoZero"/>
        <c:auto val="1"/>
        <c:lblOffset val="100"/>
        <c:baseTimeUnit val="months"/>
        <c:majorUnit val="1"/>
        <c:majorTimeUnit val="months"/>
        <c:minorUnit val="1"/>
        <c:minorTimeUnit val="months"/>
      </c:dateAx>
      <c:valAx>
        <c:axId val="1271090032"/>
        <c:scaling>
          <c:orientation val="minMax"/>
          <c:min val="95"/>
        </c:scaling>
        <c:delete val="0"/>
        <c:axPos val="l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Calibri"/>
                <a:ea typeface="Calibri"/>
                <a:cs typeface="Calibri"/>
              </a:defRPr>
            </a:pPr>
            <a:endParaRPr lang="fr-FR"/>
          </a:p>
        </c:txPr>
        <c:crossAx val="13732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32291732283464758"/>
          <c:y val="0.89583624963546227"/>
          <c:w val="0.58321118522735926"/>
          <c:h val="7.6389253426655146E-2"/>
        </c:manualLayout>
      </c:layout>
      <c:overlay val="0"/>
      <c:txPr>
        <a:bodyPr/>
        <a:lstStyle/>
        <a:p>
          <a:pPr>
            <a:defRPr sz="920" b="0" i="0" u="none" strike="noStrike" baseline="0">
              <a:solidFill>
                <a:srgbClr val="000000"/>
              </a:solidFill>
              <a:latin typeface="Calibri"/>
              <a:ea typeface="Calibri"/>
              <a:cs typeface="Calibri"/>
            </a:defRPr>
          </a:pPr>
          <a:endParaRPr lang="fr-FR"/>
        </a:p>
      </c:txPr>
    </c:legend>
    <c:plotVisOnly val="1"/>
    <c:dispBlanksAs val="gap"/>
    <c:showDLblsOverMax val="0"/>
  </c:chart>
  <c:txPr>
    <a:bodyPr/>
    <a:lstStyle/>
    <a:p>
      <a:pPr>
        <a:defRPr sz="1000" b="0" i="0" u="none" strike="noStrike" baseline="0">
          <a:solidFill>
            <a:srgbClr val="000000"/>
          </a:solidFill>
          <a:latin typeface="Calibri"/>
          <a:ea typeface="Calibri"/>
          <a:cs typeface="Calibri"/>
        </a:defRPr>
      </a:pPr>
      <a:endParaRPr lang="fr-FR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 panose="020F03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0D1A99-6BA4-4B62-B923-375E2A926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2569</Words>
  <Characters>14135</Characters>
  <Application>Microsoft Office Word</Application>
  <DocSecurity>0</DocSecurity>
  <Lines>117</Lines>
  <Paragraphs>33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Souliath CHITOU</dc:creator>
  <cp:keywords/>
  <dc:description/>
  <cp:lastModifiedBy>Utilisateur</cp:lastModifiedBy>
  <cp:revision>2</cp:revision>
  <cp:lastPrinted>2022-12-12T13:12:00Z</cp:lastPrinted>
  <dcterms:created xsi:type="dcterms:W3CDTF">2023-01-09T09:40:00Z</dcterms:created>
  <dcterms:modified xsi:type="dcterms:W3CDTF">2023-01-09T09:40:00Z</dcterms:modified>
</cp:coreProperties>
</file>